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FF0EC" w14:textId="7B1D057A" w:rsidR="00803E12" w:rsidRPr="00302890" w:rsidRDefault="00FC6604" w:rsidP="004C0561">
      <w:pPr>
        <w:pStyle w:val="Title"/>
        <w:rPr>
          <w:b/>
          <w:bCs/>
          <w:color w:val="CC00CC"/>
          <w:sz w:val="28"/>
          <w:szCs w:val="24"/>
        </w:rPr>
      </w:pPr>
      <w:sdt>
        <w:sdtPr>
          <w:rPr>
            <w:b/>
            <w:bCs/>
            <w:color w:val="CC00CC"/>
            <w:sz w:val="28"/>
            <w:szCs w:val="24"/>
          </w:rPr>
          <w:alias w:val="Subtitle"/>
          <w:tag w:val="Subtitle"/>
          <w:id w:val="206753112"/>
          <w:placeholder>
            <w:docPart w:val="0E714F5486BB4262903E723F410AD5F2"/>
          </w:placeholder>
          <w:dataBinding w:prefixMappings="xmlns:ns0='http://purl.org/dc/elements/1.1/' xmlns:ns1='http://schemas.openxmlformats.org/package/2006/metadata/core-properties' " w:xpath="/ns1:coreProperties[1]/ns0:subject[1]" w:storeItemID="{6C3C8BC8-F283-45AE-878A-BAB7291924A1}"/>
          <w:text/>
        </w:sdtPr>
        <w:sdtEndPr/>
        <w:sdtContent>
          <w:r w:rsidR="00302890" w:rsidRPr="00302890">
            <w:rPr>
              <w:b/>
              <w:bCs/>
              <w:color w:val="CC00CC"/>
              <w:sz w:val="28"/>
              <w:szCs w:val="24"/>
            </w:rPr>
            <w:t>Strengthening TA-Level Accessibility and Spatial Equity in GBV Service Provision in Mzimba District</w:t>
          </w:r>
        </w:sdtContent>
      </w:sdt>
    </w:p>
    <w:p w14:paraId="2997722D" w14:textId="6D4CA55C" w:rsidR="00654630" w:rsidRDefault="00C23C05" w:rsidP="00654630">
      <w:pPr>
        <w:pStyle w:val="Heading1"/>
        <w:rPr>
          <w:lang w:val="en-GB"/>
        </w:rPr>
      </w:pPr>
      <w:r w:rsidRPr="004B721D">
        <w:rPr>
          <w:b/>
          <w:bCs/>
        </w:rPr>
        <w:t>Purpose and Scope</w:t>
      </w:r>
    </w:p>
    <w:p w14:paraId="327B575A" w14:textId="25DED094" w:rsidR="00746557" w:rsidRPr="00654630" w:rsidRDefault="00746557" w:rsidP="00746557">
      <w:pPr>
        <w:spacing w:before="240"/>
        <w:jc w:val="both"/>
        <w:rPr>
          <w:lang w:val="en-GB"/>
        </w:rPr>
      </w:pPr>
      <w:r w:rsidRPr="00654630">
        <w:rPr>
          <w:lang w:val="en-GB"/>
        </w:rPr>
        <w:t>Mzimba District hosts one of the largest rural populations in Malawi and remains a high-burden district for gender-based violence (GBV). Despite comparatively strong service availability</w:t>
      </w:r>
      <w:r>
        <w:rPr>
          <w:lang w:val="en-GB"/>
        </w:rPr>
        <w:t xml:space="preserve"> </w:t>
      </w:r>
      <w:r w:rsidRPr="00654630">
        <w:rPr>
          <w:lang w:val="en-GB"/>
        </w:rPr>
        <w:t>especially along the central north–south transport corridor</w:t>
      </w:r>
      <w:r>
        <w:rPr>
          <w:lang w:val="en-GB"/>
        </w:rPr>
        <w:t xml:space="preserve"> </w:t>
      </w:r>
      <w:r w:rsidRPr="00654630">
        <w:rPr>
          <w:lang w:val="en-GB"/>
        </w:rPr>
        <w:t>survivors in upland and off-corridor areas face substantial physical, terrain-related, and economic barriers in accessing police, health, psychosocial and justice services.</w:t>
      </w:r>
    </w:p>
    <w:p w14:paraId="40D2E89E" w14:textId="77777777" w:rsidR="00746557" w:rsidRPr="00654630" w:rsidRDefault="00746557" w:rsidP="00746557">
      <w:pPr>
        <w:jc w:val="both"/>
        <w:rPr>
          <w:lang w:val="en-GB"/>
        </w:rPr>
      </w:pPr>
      <w:r w:rsidRPr="00654630">
        <w:rPr>
          <w:lang w:val="en-GB"/>
        </w:rPr>
        <w:t xml:space="preserve">Spatial analysis shows that most GBV services in TAs </w:t>
      </w:r>
      <w:r w:rsidRPr="00654630">
        <w:rPr>
          <w:b/>
          <w:bCs/>
          <w:lang w:val="en-GB"/>
        </w:rPr>
        <w:t>M’Mbelwa</w:t>
      </w:r>
      <w:r w:rsidRPr="00654630">
        <w:rPr>
          <w:lang w:val="en-GB"/>
        </w:rPr>
        <w:t xml:space="preserve"> and </w:t>
      </w:r>
      <w:r w:rsidRPr="00654630">
        <w:rPr>
          <w:b/>
          <w:bCs/>
          <w:lang w:val="en-GB"/>
        </w:rPr>
        <w:t>Chindi</w:t>
      </w:r>
      <w:r w:rsidRPr="00654630">
        <w:rPr>
          <w:lang w:val="en-GB"/>
        </w:rPr>
        <w:t xml:space="preserve"> cluster along the main valley road, while extensive upland zones remain weakly served. Average travel times are moderate (30–45 minutes), but steep elevation gradients and poor roads create significant inequities within the district. These patterns directly influence help-seeking, referral follow-through, and court progression.</w:t>
      </w:r>
    </w:p>
    <w:p w14:paraId="7632D5D4" w14:textId="12A47505" w:rsidR="00746557" w:rsidRDefault="00796E7E" w:rsidP="00746557">
      <w:pPr>
        <w:rPr>
          <w:lang w:val="en-GB"/>
        </w:rPr>
      </w:pPr>
      <w:r w:rsidRPr="00796E7E">
        <w:rPr>
          <w:lang w:val="en-GB"/>
        </w:rPr>
        <w:t>This policy brief provides a synthesis of GIS spatial analysis, TA-level population density mapping and facility-level referral and resolution data and actionable recommendations for improving survivor-centred access and reducing spatial inequity i</w:t>
      </w:r>
      <w:r w:rsidR="00746557" w:rsidRPr="00654630">
        <w:rPr>
          <w:lang w:val="en-GB"/>
        </w:rPr>
        <w:t>n Mzimba.</w:t>
      </w:r>
    </w:p>
    <w:p w14:paraId="4B391637" w14:textId="29334F0B" w:rsidR="004A7ACA" w:rsidRPr="00654630" w:rsidRDefault="00F178D4" w:rsidP="004A7ACA">
      <w:pPr>
        <w:pStyle w:val="Heading2"/>
        <w:rPr>
          <w:lang w:val="en-GB"/>
        </w:rPr>
      </w:pPr>
      <w:r w:rsidRPr="00674C66">
        <w:rPr>
          <w:b/>
          <w:bCs/>
        </w:rPr>
        <w:t>Spatial Profile of GBV Services in Mzimba</w:t>
      </w:r>
    </w:p>
    <w:p w14:paraId="33FE20B3" w14:textId="77777777" w:rsidR="00746557" w:rsidRPr="00A05C8E" w:rsidRDefault="00746557" w:rsidP="00746557">
      <w:pPr>
        <w:spacing w:before="240"/>
        <w:jc w:val="both"/>
        <w:rPr>
          <w:lang w:val="en-GB"/>
        </w:rPr>
      </w:pPr>
      <w:r w:rsidRPr="00A05C8E">
        <w:rPr>
          <w:lang w:val="en-GB"/>
        </w:rPr>
        <w:t xml:space="preserve">Mzimba shows </w:t>
      </w:r>
      <w:r w:rsidRPr="00A05C8E">
        <w:rPr>
          <w:b/>
          <w:bCs/>
          <w:lang w:val="en-GB"/>
        </w:rPr>
        <w:t>moderate population density</w:t>
      </w:r>
      <w:r w:rsidRPr="00A05C8E">
        <w:rPr>
          <w:lang w:val="en-GB"/>
        </w:rPr>
        <w:t xml:space="preserve"> overall (100–161 persons/km² in the mapped zones), but both mapped TAs contain </w:t>
      </w:r>
      <w:r w:rsidRPr="00A05C8E">
        <w:rPr>
          <w:b/>
          <w:bCs/>
          <w:lang w:val="en-GB"/>
        </w:rPr>
        <w:t>heterogeneous demographic pockets</w:t>
      </w:r>
      <w:r w:rsidRPr="00A05C8E">
        <w:rPr>
          <w:lang w:val="en-GB"/>
        </w:rPr>
        <w:t>:</w:t>
      </w:r>
    </w:p>
    <w:p w14:paraId="373947B2" w14:textId="68E1AA70" w:rsidR="00746557" w:rsidRPr="000C5859" w:rsidRDefault="00746557" w:rsidP="00746557">
      <w:pPr>
        <w:numPr>
          <w:ilvl w:val="0"/>
          <w:numId w:val="22"/>
        </w:numPr>
        <w:spacing w:after="0"/>
        <w:jc w:val="both"/>
        <w:rPr>
          <w:lang w:val="en-GB"/>
        </w:rPr>
      </w:pPr>
      <w:r w:rsidRPr="00F11003">
        <w:t xml:space="preserve">Mzimba had </w:t>
      </w:r>
      <w:r w:rsidR="00B17E79">
        <w:rPr>
          <w:b/>
          <w:bCs/>
        </w:rPr>
        <w:t>2</w:t>
      </w:r>
      <w:r w:rsidR="00FC6604">
        <w:rPr>
          <w:b/>
          <w:bCs/>
        </w:rPr>
        <w:t>2</w:t>
      </w:r>
      <w:r w:rsidRPr="00F11003">
        <w:rPr>
          <w:b/>
          <w:bCs/>
        </w:rPr>
        <w:t xml:space="preserve"> mapped GBV service points</w:t>
      </w:r>
      <w:r w:rsidRPr="00F11003">
        <w:t xml:space="preserve">, all located in </w:t>
      </w:r>
      <w:r w:rsidRPr="00F11003">
        <w:rPr>
          <w:b/>
          <w:bCs/>
        </w:rPr>
        <w:t>TA Chindi (</w:t>
      </w:r>
      <w:r w:rsidR="00FC6604">
        <w:rPr>
          <w:b/>
          <w:bCs/>
        </w:rPr>
        <w:t>9</w:t>
      </w:r>
      <w:r w:rsidRPr="00F11003">
        <w:rPr>
          <w:b/>
          <w:bCs/>
        </w:rPr>
        <w:t xml:space="preserve"> facilities)</w:t>
      </w:r>
      <w:r w:rsidRPr="00F11003">
        <w:t xml:space="preserve"> and </w:t>
      </w:r>
      <w:r w:rsidRPr="00F11003">
        <w:rPr>
          <w:b/>
          <w:bCs/>
        </w:rPr>
        <w:t>TA M’Mbelwa (13 facilities)</w:t>
      </w:r>
      <w:r w:rsidRPr="00F11003">
        <w:t xml:space="preserve">. Together, these form one of the most service-dense GBV corridors in the study. </w:t>
      </w:r>
    </w:p>
    <w:p w14:paraId="2B805B3F" w14:textId="77777777" w:rsidR="00746557" w:rsidRPr="000C5859" w:rsidRDefault="00746557" w:rsidP="00746557">
      <w:pPr>
        <w:numPr>
          <w:ilvl w:val="0"/>
          <w:numId w:val="22"/>
        </w:numPr>
        <w:spacing w:after="0"/>
        <w:jc w:val="both"/>
        <w:rPr>
          <w:lang w:val="en-GB"/>
        </w:rPr>
      </w:pPr>
      <w:r w:rsidRPr="00F11003">
        <w:t xml:space="preserve">In </w:t>
      </w:r>
      <w:r w:rsidRPr="00F11003">
        <w:rPr>
          <w:b/>
          <w:bCs/>
        </w:rPr>
        <w:t>M’Mbelwa</w:t>
      </w:r>
      <w:r w:rsidRPr="00F11003">
        <w:t xml:space="preserve">, the 13 service points comprised </w:t>
      </w:r>
      <w:r w:rsidRPr="00F11003">
        <w:rPr>
          <w:b/>
          <w:bCs/>
        </w:rPr>
        <w:t>7 Community Victim Units (CVUs)</w:t>
      </w:r>
      <w:r w:rsidRPr="00F11003">
        <w:t xml:space="preserve">, </w:t>
      </w:r>
      <w:r w:rsidRPr="00F11003">
        <w:rPr>
          <w:b/>
          <w:bCs/>
        </w:rPr>
        <w:t>1 health clinic</w:t>
      </w:r>
      <w:r w:rsidRPr="00F11003">
        <w:t xml:space="preserve">, </w:t>
      </w:r>
      <w:r w:rsidRPr="00F11003">
        <w:rPr>
          <w:b/>
          <w:bCs/>
        </w:rPr>
        <w:t>3 One Stop Centre–type facilities</w:t>
      </w:r>
      <w:r w:rsidRPr="00F11003">
        <w:t xml:space="preserve">, </w:t>
      </w:r>
      <w:r w:rsidRPr="00F11003">
        <w:rPr>
          <w:b/>
          <w:bCs/>
        </w:rPr>
        <w:t>1 Police Victim Support Unit (PVSU)</w:t>
      </w:r>
      <w:r w:rsidRPr="00F11003">
        <w:t xml:space="preserve"> and </w:t>
      </w:r>
      <w:r w:rsidRPr="00F11003">
        <w:rPr>
          <w:b/>
          <w:bCs/>
        </w:rPr>
        <w:t>1 women’s forum</w:t>
      </w:r>
      <w:r w:rsidRPr="00F11003">
        <w:t xml:space="preserve">, creating a relatively rich mix of community, health, police and integrated services along the main north–south road and river. </w:t>
      </w:r>
    </w:p>
    <w:p w14:paraId="763942B8" w14:textId="10551B48" w:rsidR="00746557" w:rsidRPr="000C5859" w:rsidRDefault="00746557" w:rsidP="00746557">
      <w:pPr>
        <w:numPr>
          <w:ilvl w:val="0"/>
          <w:numId w:val="22"/>
        </w:numPr>
        <w:spacing w:after="0"/>
        <w:jc w:val="both"/>
        <w:rPr>
          <w:lang w:val="en-GB"/>
        </w:rPr>
      </w:pPr>
      <w:r w:rsidRPr="00F11003">
        <w:t xml:space="preserve">In </w:t>
      </w:r>
      <w:r w:rsidRPr="00F11003">
        <w:rPr>
          <w:b/>
          <w:bCs/>
        </w:rPr>
        <w:t>Chindi</w:t>
      </w:r>
      <w:r w:rsidRPr="00F11003">
        <w:t xml:space="preserve">, the </w:t>
      </w:r>
      <w:r w:rsidR="00FC6604">
        <w:t>9</w:t>
      </w:r>
      <w:r w:rsidRPr="00F11003">
        <w:t xml:space="preserve"> facilities include a similar blend of </w:t>
      </w:r>
      <w:r w:rsidRPr="00F11003">
        <w:rPr>
          <w:b/>
          <w:bCs/>
        </w:rPr>
        <w:t>health clinics, PVSUs, CVUs and other community structures</w:t>
      </w:r>
      <w:r w:rsidRPr="00F11003">
        <w:t xml:space="preserve"> concentrated along the primary east–west and north–south road axes, reinforcing its role as a high-capacity GBV hub for the district. </w:t>
      </w:r>
    </w:p>
    <w:p w14:paraId="0DC18DF3" w14:textId="77777777" w:rsidR="00746557" w:rsidRPr="00F11003" w:rsidRDefault="00746557" w:rsidP="00746557">
      <w:pPr>
        <w:numPr>
          <w:ilvl w:val="0"/>
          <w:numId w:val="22"/>
        </w:numPr>
        <w:spacing w:after="0"/>
        <w:jc w:val="both"/>
        <w:rPr>
          <w:lang w:val="en-GB"/>
        </w:rPr>
      </w:pPr>
      <w:r w:rsidRPr="00F11003">
        <w:t xml:space="preserve">However, both maps show that this provider mix is heavily </w:t>
      </w:r>
      <w:r w:rsidRPr="00F11003">
        <w:rPr>
          <w:b/>
          <w:bCs/>
        </w:rPr>
        <w:t>corridor-bound</w:t>
      </w:r>
      <w:r w:rsidRPr="00F11003">
        <w:t>: upland and off-road communities sit at the edges of these service clusters and face significantly longer travel distances and higher costs to access the same range of GBV services.</w:t>
      </w:r>
    </w:p>
    <w:p w14:paraId="556F558E" w14:textId="7FD2A5D7" w:rsidR="00746557" w:rsidRPr="00A05C8E" w:rsidRDefault="00746557" w:rsidP="00746557">
      <w:pPr>
        <w:numPr>
          <w:ilvl w:val="0"/>
          <w:numId w:val="22"/>
        </w:numPr>
        <w:spacing w:after="0"/>
        <w:jc w:val="both"/>
        <w:rPr>
          <w:lang w:val="en-GB"/>
        </w:rPr>
      </w:pPr>
      <w:r w:rsidRPr="00A05C8E">
        <w:rPr>
          <w:b/>
          <w:bCs/>
          <w:lang w:val="en-GB"/>
        </w:rPr>
        <w:t>M’Mbelwa</w:t>
      </w:r>
      <w:r w:rsidRPr="00A05C8E">
        <w:rPr>
          <w:lang w:val="en-GB"/>
        </w:rPr>
        <w:t xml:space="preserve"> contains both moderately dense settlement clusters and lower-density outer zones.</w:t>
      </w:r>
      <w:r w:rsidRPr="00A05C8E">
        <w:rPr>
          <w:lang w:val="en-GB"/>
        </w:rPr>
        <w:br/>
        <w:t>This corresponds with the linear service corridor seen in maps</w:t>
      </w:r>
      <w:r w:rsidR="0054265C">
        <w:rPr>
          <w:lang w:val="en-GB"/>
        </w:rPr>
        <w:t xml:space="preserve"> </w:t>
      </w:r>
      <w:r w:rsidRPr="00A05C8E">
        <w:rPr>
          <w:lang w:val="en-GB"/>
        </w:rPr>
        <w:t>dense populations align with the main road, while sparsely populated uplands and forested areas remain underserved.</w:t>
      </w:r>
    </w:p>
    <w:p w14:paraId="2B31FDDB" w14:textId="77777777" w:rsidR="00746557" w:rsidRDefault="00746557" w:rsidP="00746557">
      <w:pPr>
        <w:numPr>
          <w:ilvl w:val="0"/>
          <w:numId w:val="22"/>
        </w:numPr>
        <w:spacing w:after="0"/>
        <w:jc w:val="both"/>
        <w:rPr>
          <w:lang w:val="en-GB"/>
        </w:rPr>
      </w:pPr>
      <w:r w:rsidRPr="00A05C8E">
        <w:rPr>
          <w:b/>
          <w:bCs/>
          <w:lang w:val="en-GB"/>
        </w:rPr>
        <w:t>Chindi</w:t>
      </w:r>
      <w:r w:rsidRPr="00A05C8E">
        <w:rPr>
          <w:lang w:val="en-GB"/>
        </w:rPr>
        <w:t xml:space="preserve"> also occupies the 100–136 persons/km² band, but its density is concentrated around the central transport spine, explaining its high caseload and the strong demand for nearby PVSU and clinic services.</w:t>
      </w:r>
    </w:p>
    <w:p w14:paraId="37E48929" w14:textId="77777777" w:rsidR="00746557" w:rsidRPr="004305ED" w:rsidRDefault="00746557" w:rsidP="00746557">
      <w:pPr>
        <w:numPr>
          <w:ilvl w:val="0"/>
          <w:numId w:val="22"/>
        </w:numPr>
        <w:spacing w:after="0"/>
        <w:jc w:val="both"/>
        <w:rPr>
          <w:lang w:val="en-GB"/>
        </w:rPr>
      </w:pPr>
      <w:r w:rsidRPr="00E13C86">
        <w:t xml:space="preserve">Average travel time to the nearest GBV service in </w:t>
      </w:r>
      <w:r w:rsidRPr="00E13C86">
        <w:rPr>
          <w:b/>
          <w:bCs/>
        </w:rPr>
        <w:t>M’Mbelwa</w:t>
      </w:r>
      <w:r w:rsidRPr="00E13C86">
        <w:t xml:space="preserve"> sits in the </w:t>
      </w:r>
      <w:r w:rsidRPr="00E13C86">
        <w:rPr>
          <w:b/>
          <w:bCs/>
        </w:rPr>
        <w:t>30–60 minute</w:t>
      </w:r>
      <w:r w:rsidRPr="00E13C86">
        <w:t xml:space="preserve"> band, while in </w:t>
      </w:r>
      <w:r w:rsidRPr="00E13C86">
        <w:rPr>
          <w:b/>
          <w:bCs/>
        </w:rPr>
        <w:t>Chindi</w:t>
      </w:r>
      <w:r w:rsidRPr="00E13C86">
        <w:t xml:space="preserve"> it is typically </w:t>
      </w:r>
      <w:r w:rsidRPr="00E13C86">
        <w:rPr>
          <w:b/>
          <w:bCs/>
        </w:rPr>
        <w:t>20–40 minutes</w:t>
      </w:r>
      <w:r w:rsidRPr="00E13C86">
        <w:t xml:space="preserve">, with shorter journeys for communities near the primary road network. However, upland and off-corridor settlements in both TAs face </w:t>
      </w:r>
      <w:r w:rsidRPr="00E13C86">
        <w:rPr>
          <w:b/>
          <w:bCs/>
        </w:rPr>
        <w:t>significantly longer and more variable travel times</w:t>
      </w:r>
      <w:r w:rsidRPr="00E13C86">
        <w:t xml:space="preserve">, especially during the rainy season when roads deteriorate. </w:t>
      </w:r>
    </w:p>
    <w:p w14:paraId="556EB220" w14:textId="77777777" w:rsidR="00746557" w:rsidRDefault="00746557" w:rsidP="00746557">
      <w:pPr>
        <w:pStyle w:val="ListParagraph"/>
        <w:numPr>
          <w:ilvl w:val="0"/>
          <w:numId w:val="22"/>
        </w:numPr>
        <w:spacing w:after="0"/>
        <w:jc w:val="both"/>
      </w:pPr>
      <w:r w:rsidRPr="003603E1">
        <w:t xml:space="preserve">These spatial gaps mean that Mzimba’s apparently good coverage is </w:t>
      </w:r>
      <w:r w:rsidRPr="00AB38DB">
        <w:rPr>
          <w:b/>
          <w:bCs/>
        </w:rPr>
        <w:t>uneven at TA level</w:t>
      </w:r>
      <w:r w:rsidRPr="003603E1">
        <w:t>: survivors living in upland villages face longer walks, steeper terrain and higher transport costs, which likely suppress reporting and reduce follow-through to police and courts.</w:t>
      </w:r>
    </w:p>
    <w:p w14:paraId="12B4535D" w14:textId="77777777" w:rsidR="00746557" w:rsidRDefault="00746557" w:rsidP="00746557">
      <w:pPr>
        <w:numPr>
          <w:ilvl w:val="0"/>
          <w:numId w:val="22"/>
        </w:numPr>
        <w:jc w:val="both"/>
        <w:rPr>
          <w:lang w:val="en-GB"/>
        </w:rPr>
      </w:pPr>
      <w:r w:rsidRPr="00E13C86">
        <w:t xml:space="preserve">Combined with </w:t>
      </w:r>
      <w:r w:rsidRPr="00E13C86">
        <w:rPr>
          <w:b/>
          <w:bCs/>
        </w:rPr>
        <w:t>above-median transport costs</w:t>
      </w:r>
      <w:r w:rsidRPr="00E13C86">
        <w:t xml:space="preserve"> (roughly </w:t>
      </w:r>
      <w:r w:rsidRPr="00E13C86">
        <w:rPr>
          <w:b/>
          <w:bCs/>
        </w:rPr>
        <w:t>MWK 8,000–12,000</w:t>
      </w:r>
      <w:r w:rsidRPr="00E13C86">
        <w:t xml:space="preserve"> per trip for many M’Mbelwa and Chindi-origin survivors), this pattern means that, although Mzimba functions as a high-capacity GBV hub, </w:t>
      </w:r>
      <w:r w:rsidRPr="00E13C86">
        <w:rPr>
          <w:b/>
          <w:bCs/>
        </w:rPr>
        <w:t>effective access is strongly corridor-biased</w:t>
      </w:r>
      <w:r w:rsidRPr="00E13C86">
        <w:t>, and poorer households in remote hills still struggle to reach the same level of support.</w:t>
      </w:r>
    </w:p>
    <w:p w14:paraId="42376827" w14:textId="77777777" w:rsidR="00746557" w:rsidRPr="00A05C8E" w:rsidRDefault="00A05C8E" w:rsidP="00746557">
      <w:pPr>
        <w:jc w:val="both"/>
        <w:rPr>
          <w:lang w:val="en-GB"/>
        </w:rPr>
      </w:pPr>
      <w:r w:rsidRPr="00A05C8E">
        <w:rPr>
          <w:b/>
          <w:bCs/>
          <w:color w:val="7030A0"/>
          <w:lang w:val="en-GB"/>
        </w:rPr>
        <w:t>Implication:</w:t>
      </w:r>
      <w:r w:rsidRPr="00A05C8E">
        <w:rPr>
          <w:lang w:val="en-GB"/>
        </w:rPr>
        <w:br/>
      </w:r>
      <w:r w:rsidR="00746557" w:rsidRPr="00A05C8E">
        <w:rPr>
          <w:lang w:val="en-GB"/>
        </w:rPr>
        <w:t xml:space="preserve">Mzimba TAs generate </w:t>
      </w:r>
      <w:r w:rsidR="00746557" w:rsidRPr="00A05C8E">
        <w:rPr>
          <w:b/>
          <w:bCs/>
          <w:lang w:val="en-GB"/>
        </w:rPr>
        <w:t>high GBV caseloads</w:t>
      </w:r>
      <w:r w:rsidR="00746557" w:rsidRPr="00A05C8E">
        <w:rPr>
          <w:lang w:val="en-GB"/>
        </w:rPr>
        <w:t xml:space="preserve"> because population density is moderate-to-high where services exist. </w:t>
      </w:r>
      <w:r w:rsidR="00746557" w:rsidRPr="00A05C8E">
        <w:rPr>
          <w:lang w:val="en-GB"/>
        </w:rPr>
        <w:lastRenderedPageBreak/>
        <w:t xml:space="preserve">Low-density outlying areas, however, contribute substantially to </w:t>
      </w:r>
      <w:r w:rsidR="00746557" w:rsidRPr="00A05C8E">
        <w:rPr>
          <w:b/>
          <w:bCs/>
          <w:lang w:val="en-GB"/>
        </w:rPr>
        <w:t>distance- and terrain-related access gaps</w:t>
      </w:r>
      <w:r w:rsidR="00746557" w:rsidRPr="00A05C8E">
        <w:rPr>
          <w:lang w:val="en-GB"/>
        </w:rPr>
        <w:t>.</w:t>
      </w:r>
    </w:p>
    <w:p w14:paraId="540FCC27" w14:textId="77777777" w:rsidR="009B28CE" w:rsidRDefault="009B28CE" w:rsidP="009B28CE">
      <w:pPr>
        <w:keepNext/>
        <w:jc w:val="both"/>
      </w:pPr>
      <w:r>
        <w:rPr>
          <w:noProof/>
          <w:lang w:val="en-GB"/>
        </w:rPr>
        <w:drawing>
          <wp:inline distT="0" distB="0" distL="0" distR="0" wp14:anchorId="00EEE0B4" wp14:editId="77211F1F">
            <wp:extent cx="2736000" cy="3602180"/>
            <wp:effectExtent l="0" t="0" r="7620" b="0"/>
            <wp:docPr id="1808798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98847" name="Picture 18087988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36000" cy="3602180"/>
                    </a:xfrm>
                    <a:prstGeom prst="rect">
                      <a:avLst/>
                    </a:prstGeom>
                  </pic:spPr>
                </pic:pic>
              </a:graphicData>
            </a:graphic>
          </wp:inline>
        </w:drawing>
      </w:r>
    </w:p>
    <w:p w14:paraId="3555ABAE" w14:textId="47F556CA" w:rsidR="00466495" w:rsidRDefault="009B28CE" w:rsidP="009B28CE">
      <w:pPr>
        <w:pStyle w:val="Caption"/>
        <w:jc w:val="both"/>
        <w:rPr>
          <w:rFonts w:ascii="Arial" w:hAnsi="Arial" w:cs="Arial"/>
          <w:b/>
          <w:bCs w:val="0"/>
        </w:rPr>
      </w:pPr>
      <w:r w:rsidRPr="009B28CE">
        <w:rPr>
          <w:rFonts w:ascii="Arial" w:hAnsi="Arial" w:cs="Arial"/>
          <w:b/>
          <w:bCs w:val="0"/>
        </w:rPr>
        <w:t xml:space="preserve">Figure </w:t>
      </w:r>
      <w:r w:rsidRPr="009B28CE">
        <w:rPr>
          <w:rFonts w:ascii="Arial" w:hAnsi="Arial" w:cs="Arial"/>
          <w:b/>
          <w:bCs w:val="0"/>
        </w:rPr>
        <w:fldChar w:fldCharType="begin"/>
      </w:r>
      <w:r w:rsidRPr="009B28CE">
        <w:rPr>
          <w:rFonts w:ascii="Arial" w:hAnsi="Arial" w:cs="Arial"/>
          <w:b/>
          <w:bCs w:val="0"/>
        </w:rPr>
        <w:instrText xml:space="preserve"> SEQ Figure \* ARABIC </w:instrText>
      </w:r>
      <w:r w:rsidRPr="009B28CE">
        <w:rPr>
          <w:rFonts w:ascii="Arial" w:hAnsi="Arial" w:cs="Arial"/>
          <w:b/>
          <w:bCs w:val="0"/>
        </w:rPr>
        <w:fldChar w:fldCharType="separate"/>
      </w:r>
      <w:r w:rsidR="00303F38">
        <w:rPr>
          <w:rFonts w:ascii="Arial" w:hAnsi="Arial" w:cs="Arial"/>
          <w:b/>
          <w:bCs w:val="0"/>
          <w:noProof/>
        </w:rPr>
        <w:t>1</w:t>
      </w:r>
      <w:r w:rsidRPr="009B28CE">
        <w:rPr>
          <w:rFonts w:ascii="Arial" w:hAnsi="Arial" w:cs="Arial"/>
          <w:b/>
          <w:bCs w:val="0"/>
        </w:rPr>
        <w:fldChar w:fldCharType="end"/>
      </w:r>
      <w:r w:rsidRPr="009B28CE">
        <w:rPr>
          <w:rFonts w:ascii="Arial" w:hAnsi="Arial" w:cs="Arial"/>
          <w:b/>
          <w:bCs w:val="0"/>
        </w:rPr>
        <w:t>: Distribution of GBV Service Providers in TA M'mberwa</w:t>
      </w:r>
    </w:p>
    <w:p w14:paraId="3EB09DA6" w14:textId="77777777" w:rsidR="00303F38" w:rsidRDefault="00303F38" w:rsidP="00303F38">
      <w:pPr>
        <w:keepNext/>
      </w:pPr>
      <w:r>
        <w:rPr>
          <w:noProof/>
        </w:rPr>
        <w:drawing>
          <wp:inline distT="0" distB="0" distL="0" distR="0" wp14:anchorId="16F6F21E" wp14:editId="2C045BC5">
            <wp:extent cx="2663873" cy="3767017"/>
            <wp:effectExtent l="0" t="0" r="3175" b="5080"/>
            <wp:docPr id="12353357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35736"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63873" cy="3767017"/>
                    </a:xfrm>
                    <a:prstGeom prst="rect">
                      <a:avLst/>
                    </a:prstGeom>
                  </pic:spPr>
                </pic:pic>
              </a:graphicData>
            </a:graphic>
          </wp:inline>
        </w:drawing>
      </w:r>
    </w:p>
    <w:p w14:paraId="69741212" w14:textId="181CA11D" w:rsidR="009B28CE" w:rsidRPr="00303F38" w:rsidRDefault="00303F38" w:rsidP="00303F38">
      <w:pPr>
        <w:pStyle w:val="Caption"/>
        <w:rPr>
          <w:b/>
          <w:bCs w:val="0"/>
        </w:rPr>
      </w:pPr>
      <w:r w:rsidRPr="00303F38">
        <w:rPr>
          <w:b/>
          <w:bCs w:val="0"/>
        </w:rPr>
        <w:t xml:space="preserve">Figure </w:t>
      </w:r>
      <w:r w:rsidRPr="00303F38">
        <w:rPr>
          <w:b/>
          <w:bCs w:val="0"/>
        </w:rPr>
        <w:fldChar w:fldCharType="begin"/>
      </w:r>
      <w:r w:rsidRPr="00303F38">
        <w:rPr>
          <w:b/>
          <w:bCs w:val="0"/>
        </w:rPr>
        <w:instrText xml:space="preserve"> SEQ Figure \* ARABIC </w:instrText>
      </w:r>
      <w:r w:rsidRPr="00303F38">
        <w:rPr>
          <w:b/>
          <w:bCs w:val="0"/>
        </w:rPr>
        <w:fldChar w:fldCharType="separate"/>
      </w:r>
      <w:r w:rsidRPr="00303F38">
        <w:rPr>
          <w:b/>
          <w:bCs w:val="0"/>
          <w:noProof/>
        </w:rPr>
        <w:t>2</w:t>
      </w:r>
      <w:r w:rsidRPr="00303F38">
        <w:rPr>
          <w:b/>
          <w:bCs w:val="0"/>
        </w:rPr>
        <w:fldChar w:fldCharType="end"/>
      </w:r>
      <w:r w:rsidRPr="00303F38">
        <w:rPr>
          <w:b/>
          <w:bCs w:val="0"/>
        </w:rPr>
        <w:t>: Distribution of GBV Service Providers in TA Chindi</w:t>
      </w:r>
    </w:p>
    <w:p w14:paraId="13897572" w14:textId="6C240F1C" w:rsidR="004A7AE8" w:rsidRPr="00893141" w:rsidRDefault="004A7AE8" w:rsidP="00285338">
      <w:pPr>
        <w:pStyle w:val="Heading2"/>
        <w:rPr>
          <w:b/>
          <w:bCs/>
        </w:rPr>
      </w:pPr>
      <w:r w:rsidRPr="00893141">
        <w:rPr>
          <w:b/>
          <w:bCs/>
        </w:rPr>
        <w:t>Key Accessibility Gaps and Systems Challenges</w:t>
      </w:r>
    </w:p>
    <w:p w14:paraId="0E3A2AB0" w14:textId="7EC59903" w:rsidR="0036668A" w:rsidRDefault="003F5AAA" w:rsidP="00057304">
      <w:pPr>
        <w:jc w:val="both"/>
      </w:pPr>
      <w:r w:rsidRPr="003F5AAA">
        <w:t>The combined spatial, referral and case-management data point</w:t>
      </w:r>
      <w:r w:rsidR="001E2E51">
        <w:t>s</w:t>
      </w:r>
      <w:r w:rsidRPr="003F5AAA">
        <w:t xml:space="preserve"> to a GBV system that is present and active across the </w:t>
      </w:r>
      <w:r w:rsidR="00BC25BA">
        <w:t>two TAs</w:t>
      </w:r>
      <w:r w:rsidRPr="003F5AAA">
        <w:t>, but structurally uneven, costly to access, and weakest where survivors need it most</w:t>
      </w:r>
      <w:r w:rsidR="00BC3DD6">
        <w:t xml:space="preserve"> </w:t>
      </w:r>
      <w:r w:rsidRPr="003F5AAA">
        <w:t>at the level of justice and long-term protection. Five interlinked systems challenges stand out.</w:t>
      </w:r>
    </w:p>
    <w:p w14:paraId="3A31D9A2" w14:textId="16A20E2E" w:rsidR="0036668A" w:rsidRDefault="0036668A" w:rsidP="003F5AAA">
      <w:pPr>
        <w:pStyle w:val="ListParagraph"/>
        <w:numPr>
          <w:ilvl w:val="0"/>
          <w:numId w:val="43"/>
        </w:numPr>
        <w:jc w:val="both"/>
      </w:pPr>
      <w:r w:rsidRPr="0036668A">
        <w:t xml:space="preserve">Spatial inequity across and within TAs was pronounced, with GBV services concentrated in a small number of </w:t>
      </w:r>
      <w:r w:rsidR="0012294D">
        <w:t>service providers</w:t>
      </w:r>
      <w:r w:rsidRPr="0036668A">
        <w:t xml:space="preserve"> while large peripheral areas</w:t>
      </w:r>
      <w:r w:rsidR="0012294D">
        <w:t xml:space="preserve"> </w:t>
      </w:r>
      <w:r w:rsidRPr="0036668A">
        <w:t>remained underserved, resulting in access-driven under-reporting rather than true differences in GBV incidence.</w:t>
      </w:r>
    </w:p>
    <w:p w14:paraId="2DF73FB4" w14:textId="0046C605" w:rsidR="00F06802" w:rsidRDefault="00F06802" w:rsidP="003F5AAA">
      <w:pPr>
        <w:pStyle w:val="ListParagraph"/>
        <w:numPr>
          <w:ilvl w:val="0"/>
          <w:numId w:val="43"/>
        </w:numPr>
        <w:jc w:val="both"/>
      </w:pPr>
      <w:r w:rsidRPr="00F06802">
        <w:t>Long travel distances (</w:t>
      </w:r>
      <w:r w:rsidR="004B0AF1">
        <w:t>2</w:t>
      </w:r>
      <w:r w:rsidR="00A467E4">
        <w:t>5</w:t>
      </w:r>
      <w:r w:rsidRPr="00F06802">
        <w:t>–3</w:t>
      </w:r>
      <w:r w:rsidR="00A467E4">
        <w:t>5</w:t>
      </w:r>
      <w:r w:rsidRPr="00F06802">
        <w:t xml:space="preserve"> km), extended travel times (</w:t>
      </w:r>
      <w:r w:rsidR="00BC3DD6">
        <w:t>30</w:t>
      </w:r>
      <w:r w:rsidRPr="00F06802">
        <w:t>–</w:t>
      </w:r>
      <w:r w:rsidR="00BC3DD6">
        <w:t>40</w:t>
      </w:r>
      <w:r w:rsidRPr="00F06802">
        <w:t xml:space="preserve"> minutes), and high transport costs (MWK </w:t>
      </w:r>
      <w:r w:rsidR="006F27CA">
        <w:t>8</w:t>
      </w:r>
      <w:r w:rsidRPr="00F06802">
        <w:t>,000–</w:t>
      </w:r>
      <w:r w:rsidR="006F27CA">
        <w:t>12</w:t>
      </w:r>
      <w:r w:rsidR="00AD60AD">
        <w:t>,000</w:t>
      </w:r>
      <w:r w:rsidRPr="00F06802">
        <w:t xml:space="preserve"> per trip) acted as structural filters that disproportionately excluded poor, rural and remote survivors</w:t>
      </w:r>
      <w:r w:rsidR="003518F2">
        <w:t xml:space="preserve"> </w:t>
      </w:r>
      <w:r w:rsidRPr="00F06802">
        <w:t xml:space="preserve">particularly in far-remote </w:t>
      </w:r>
      <w:r w:rsidR="00093687">
        <w:t xml:space="preserve">locations </w:t>
      </w:r>
      <w:r w:rsidRPr="00F06802">
        <w:t>from accessing GBV services.</w:t>
      </w:r>
    </w:p>
    <w:p w14:paraId="5A3A8906" w14:textId="5D8BE567" w:rsidR="00F06802" w:rsidRDefault="000D3605" w:rsidP="003F5AAA">
      <w:pPr>
        <w:pStyle w:val="ListParagraph"/>
        <w:numPr>
          <w:ilvl w:val="0"/>
          <w:numId w:val="43"/>
        </w:numPr>
        <w:jc w:val="both"/>
      </w:pPr>
      <w:r w:rsidRPr="000D3605">
        <w:t>While counselling and basic support were widely available, specialised GBV services</w:t>
      </w:r>
      <w:r w:rsidR="00086781">
        <w:t xml:space="preserve"> </w:t>
      </w:r>
      <w:r w:rsidRPr="000D3605">
        <w:t>including forensic care, legal aid and OSCs</w:t>
      </w:r>
      <w:r w:rsidR="00086781">
        <w:t xml:space="preserve"> </w:t>
      </w:r>
      <w:r w:rsidRPr="000D3605">
        <w:t xml:space="preserve">were sparse and district-based, and the justice system remained the weakest link, with magistrate courts resolving only 25% of cases and lacking criminal jurisdiction at </w:t>
      </w:r>
      <w:r w:rsidR="00086781">
        <w:t>2</w:t>
      </w:r>
      <w:r w:rsidR="00086781" w:rsidRPr="00086781">
        <w:rPr>
          <w:vertAlign w:val="superscript"/>
        </w:rPr>
        <w:t>nd</w:t>
      </w:r>
      <w:r w:rsidR="00086781">
        <w:t>/3</w:t>
      </w:r>
      <w:r w:rsidR="00086781" w:rsidRPr="00086781">
        <w:rPr>
          <w:vertAlign w:val="superscript"/>
        </w:rPr>
        <w:t>rd</w:t>
      </w:r>
      <w:r w:rsidR="00086781">
        <w:t xml:space="preserve"> grade magistrate </w:t>
      </w:r>
      <w:r w:rsidRPr="000D3605">
        <w:t>level.</w:t>
      </w:r>
    </w:p>
    <w:p w14:paraId="3092BA9E" w14:textId="67A7EF76" w:rsidR="0024504B" w:rsidRDefault="0024504B" w:rsidP="003F5AAA">
      <w:pPr>
        <w:pStyle w:val="ListParagraph"/>
        <w:numPr>
          <w:ilvl w:val="0"/>
          <w:numId w:val="43"/>
        </w:numPr>
        <w:jc w:val="both"/>
      </w:pPr>
      <w:r w:rsidRPr="0024504B">
        <w:t>Referral chains exhibited a steep attrition curve, where most cases originated and were resolved at community, health and police levels, but survivor engagement dropped sharply as cases moved toward the justice system due to distance, repeated travel requirements, costs and weak feedback loops.</w:t>
      </w:r>
    </w:p>
    <w:p w14:paraId="684A686E" w14:textId="2D4BF5BE" w:rsidR="0024504B" w:rsidRDefault="0024504B" w:rsidP="003F5AAA">
      <w:pPr>
        <w:pStyle w:val="ListParagraph"/>
        <w:numPr>
          <w:ilvl w:val="0"/>
          <w:numId w:val="43"/>
        </w:numPr>
        <w:jc w:val="both"/>
      </w:pPr>
      <w:r w:rsidRPr="0024504B">
        <w:t>GBV information systems were fragmented across paper and digital tools, lacked unique case identifiers, applied inconsistent definitions of “case” and “resolved,” and suffered from missing disaggregation</w:t>
      </w:r>
      <w:r w:rsidR="000A5F31">
        <w:t xml:space="preserve">, </w:t>
      </w:r>
      <w:r w:rsidRPr="0024504B">
        <w:t>resulting in unreliable totals, untraceable survivor pathways and limited capacity for accountability or learning.</w:t>
      </w:r>
    </w:p>
    <w:p w14:paraId="110947BE" w14:textId="242E0420" w:rsidR="0024504B" w:rsidRDefault="002F4B60" w:rsidP="003F5AAA">
      <w:pPr>
        <w:pStyle w:val="ListParagraph"/>
        <w:numPr>
          <w:ilvl w:val="0"/>
          <w:numId w:val="43"/>
        </w:numPr>
        <w:jc w:val="both"/>
      </w:pPr>
      <w:r w:rsidRPr="002F4B60">
        <w:t>Survivor outcomes were shaped by interconnected location</w:t>
      </w:r>
      <w:r w:rsidR="001E2E51">
        <w:t xml:space="preserve"> </w:t>
      </w:r>
      <w:r w:rsidR="001E2E51" w:rsidRPr="002F4B60">
        <w:t>constraints</w:t>
      </w:r>
      <w:r w:rsidR="001E2E51">
        <w:t xml:space="preserve"> </w:t>
      </w:r>
      <w:r w:rsidRPr="002F4B60">
        <w:t>determining physical access, income determining ability to follow through, service type determining case trajectory, and weak data systems obscuring gaps</w:t>
      </w:r>
      <w:r w:rsidR="00382EC8">
        <w:t xml:space="preserve">, </w:t>
      </w:r>
      <w:r w:rsidRPr="002F4B60">
        <w:t>highlighting the need for simultaneous action on spatial equity, affordability, service depth, referral linkages and data integration.</w:t>
      </w:r>
    </w:p>
    <w:p w14:paraId="42C24132" w14:textId="760C5C8C" w:rsidR="00E00639" w:rsidRPr="00E00639" w:rsidRDefault="00E00639" w:rsidP="00E30036">
      <w:pPr>
        <w:pStyle w:val="ListParagraph"/>
        <w:numPr>
          <w:ilvl w:val="0"/>
          <w:numId w:val="43"/>
        </w:numPr>
        <w:jc w:val="both"/>
      </w:pPr>
      <w:r>
        <w:lastRenderedPageBreak/>
        <w:t>E</w:t>
      </w:r>
      <w:r w:rsidRPr="00E00639">
        <w:t>ven before considering communication, attitudinal or financial barriers, around one in three GBV service points explicitly reported that their physical infrastructure is not accessible to persons with disabilities, and only about half reported meeting basic accessibility standards (e.g. ramps, wide entrances, accessible toilets).</w:t>
      </w:r>
    </w:p>
    <w:p w14:paraId="6648F123" w14:textId="19DEDFB1" w:rsidR="00803E12" w:rsidRPr="00893141" w:rsidRDefault="00285338" w:rsidP="00285338">
      <w:pPr>
        <w:pStyle w:val="Heading2"/>
        <w:rPr>
          <w:b/>
          <w:bCs/>
        </w:rPr>
      </w:pPr>
      <w:r w:rsidRPr="00893141">
        <w:rPr>
          <w:b/>
          <w:bCs/>
        </w:rPr>
        <w:t xml:space="preserve">Policy </w:t>
      </w:r>
      <w:r w:rsidR="000F0AB1">
        <w:rPr>
          <w:b/>
          <w:bCs/>
        </w:rPr>
        <w:t>Recommendations</w:t>
      </w:r>
    </w:p>
    <w:p w14:paraId="61169847" w14:textId="0D5C6C39" w:rsidR="00285338" w:rsidRPr="00285338" w:rsidRDefault="00285338" w:rsidP="00285338">
      <w:pPr>
        <w:rPr>
          <w:b/>
          <w:bCs/>
          <w:color w:val="CC00CC"/>
          <w:lang w:val="en-GB"/>
        </w:rPr>
      </w:pPr>
      <w:r w:rsidRPr="00285338">
        <w:rPr>
          <w:b/>
          <w:bCs/>
          <w:color w:val="CC00CC"/>
          <w:lang w:val="en-GB"/>
        </w:rPr>
        <w:t xml:space="preserve">Policy Option 1: </w:t>
      </w:r>
      <w:r w:rsidR="00F5522F" w:rsidRPr="00F5522F">
        <w:rPr>
          <w:b/>
          <w:bCs/>
          <w:color w:val="CC00CC"/>
          <w:lang w:val="en-GB"/>
        </w:rPr>
        <w:t xml:space="preserve">Support </w:t>
      </w:r>
      <w:r w:rsidR="00DA7D1A">
        <w:rPr>
          <w:b/>
          <w:bCs/>
          <w:color w:val="CC00CC"/>
          <w:lang w:val="en-GB"/>
        </w:rPr>
        <w:t>C</w:t>
      </w:r>
      <w:r w:rsidR="00F5522F" w:rsidRPr="00F5522F">
        <w:rPr>
          <w:b/>
          <w:bCs/>
          <w:color w:val="CC00CC"/>
          <w:lang w:val="en-GB"/>
        </w:rPr>
        <w:t xml:space="preserve">ircuit or </w:t>
      </w:r>
      <w:r w:rsidR="00DA7D1A">
        <w:rPr>
          <w:b/>
          <w:bCs/>
          <w:color w:val="CC00CC"/>
          <w:lang w:val="en-GB"/>
        </w:rPr>
        <w:t>M</w:t>
      </w:r>
      <w:r w:rsidR="00F5522F" w:rsidRPr="00F5522F">
        <w:rPr>
          <w:b/>
          <w:bCs/>
          <w:color w:val="CC00CC"/>
          <w:lang w:val="en-GB"/>
        </w:rPr>
        <w:t xml:space="preserve">obile </w:t>
      </w:r>
      <w:r w:rsidR="00DA7D1A">
        <w:rPr>
          <w:b/>
          <w:bCs/>
          <w:color w:val="CC00CC"/>
          <w:lang w:val="en-GB"/>
        </w:rPr>
        <w:t>C</w:t>
      </w:r>
      <w:r w:rsidR="00F5522F" w:rsidRPr="00F5522F">
        <w:rPr>
          <w:b/>
          <w:bCs/>
          <w:color w:val="CC00CC"/>
          <w:lang w:val="en-GB"/>
        </w:rPr>
        <w:t xml:space="preserve">ourt </w:t>
      </w:r>
      <w:r w:rsidR="00DA7D1A">
        <w:rPr>
          <w:b/>
          <w:bCs/>
          <w:color w:val="CC00CC"/>
          <w:lang w:val="en-GB"/>
        </w:rPr>
        <w:t>S</w:t>
      </w:r>
      <w:r w:rsidR="00F5522F" w:rsidRPr="00F5522F">
        <w:rPr>
          <w:b/>
          <w:bCs/>
          <w:color w:val="CC00CC"/>
          <w:lang w:val="en-GB"/>
        </w:rPr>
        <w:t>essions</w:t>
      </w:r>
      <w:r w:rsidR="00FD5064">
        <w:rPr>
          <w:b/>
          <w:bCs/>
          <w:color w:val="CC00CC"/>
          <w:lang w:val="en-GB"/>
        </w:rPr>
        <w:t xml:space="preserve">, </w:t>
      </w:r>
      <w:r w:rsidR="00DA7D1A">
        <w:rPr>
          <w:b/>
          <w:bCs/>
          <w:color w:val="CC00CC"/>
          <w:lang w:val="en-GB"/>
        </w:rPr>
        <w:t>M</w:t>
      </w:r>
      <w:r w:rsidR="00F5522F">
        <w:rPr>
          <w:b/>
          <w:bCs/>
          <w:color w:val="CC00CC"/>
          <w:lang w:val="en-GB"/>
        </w:rPr>
        <w:t xml:space="preserve">obile </w:t>
      </w:r>
      <w:r w:rsidR="00DA7D1A">
        <w:rPr>
          <w:b/>
          <w:bCs/>
          <w:color w:val="CC00CC"/>
          <w:lang w:val="en-GB"/>
        </w:rPr>
        <w:t>L</w:t>
      </w:r>
      <w:r w:rsidR="00F5522F">
        <w:rPr>
          <w:b/>
          <w:bCs/>
          <w:color w:val="CC00CC"/>
          <w:lang w:val="en-GB"/>
        </w:rPr>
        <w:t>e</w:t>
      </w:r>
      <w:r w:rsidR="00DA7D1A">
        <w:rPr>
          <w:b/>
          <w:bCs/>
          <w:color w:val="CC00CC"/>
          <w:lang w:val="en-GB"/>
        </w:rPr>
        <w:t xml:space="preserve">gal Clinics </w:t>
      </w:r>
      <w:r w:rsidRPr="00285338">
        <w:rPr>
          <w:b/>
          <w:bCs/>
          <w:color w:val="CC00CC"/>
          <w:lang w:val="en-GB"/>
        </w:rPr>
        <w:t xml:space="preserve">Mobile </w:t>
      </w:r>
    </w:p>
    <w:p w14:paraId="52DE42A0" w14:textId="77777777" w:rsidR="00F5522F" w:rsidRPr="00FD5064" w:rsidRDefault="00F5522F" w:rsidP="004A4447">
      <w:pPr>
        <w:tabs>
          <w:tab w:val="num" w:pos="426"/>
        </w:tabs>
        <w:spacing w:after="0"/>
        <w:jc w:val="both"/>
        <w:rPr>
          <w:lang w:val="en-GB"/>
        </w:rPr>
      </w:pPr>
      <w:r w:rsidRPr="00FD5064">
        <w:rPr>
          <w:lang w:val="en-GB"/>
        </w:rPr>
        <w:t>Support circuit or mobile court sessions in high-burden, distant TAs to reduce the number of long, costly trips required for survivors and witnesses.</w:t>
      </w:r>
    </w:p>
    <w:p w14:paraId="33AEDE00" w14:textId="77777777" w:rsidR="00F5522F" w:rsidRPr="00FD5064" w:rsidRDefault="00F5522F" w:rsidP="004A4447">
      <w:pPr>
        <w:spacing w:after="0"/>
        <w:jc w:val="both"/>
        <w:rPr>
          <w:lang w:val="en-GB"/>
        </w:rPr>
      </w:pPr>
      <w:r w:rsidRPr="00FD5064">
        <w:rPr>
          <w:lang w:val="en-GB"/>
        </w:rPr>
        <w:t>Strengthen police–prosecution–court communication and case tracking so that criminal GBV matters referred out of TAs are systematically followed through at district level.</w:t>
      </w:r>
    </w:p>
    <w:p w14:paraId="5A674B7F" w14:textId="08820A6C" w:rsidR="00FD5064" w:rsidRPr="00FD5064" w:rsidRDefault="00FD5064" w:rsidP="004A4447">
      <w:pPr>
        <w:jc w:val="both"/>
        <w:rPr>
          <w:lang w:val="en-GB"/>
        </w:rPr>
      </w:pPr>
      <w:r w:rsidRPr="00FD5064">
        <w:rPr>
          <w:lang w:val="en-GB"/>
        </w:rPr>
        <w:t>This option directly addresses spatial exclusion and provides timely services closer to survivors’ homes.</w:t>
      </w:r>
    </w:p>
    <w:p w14:paraId="3ADCBAF4" w14:textId="7FDD63B4" w:rsidR="00285338" w:rsidRPr="00285338" w:rsidRDefault="00285338" w:rsidP="00C74A1F">
      <w:pPr>
        <w:jc w:val="both"/>
        <w:rPr>
          <w:lang w:val="en-GB"/>
        </w:rPr>
      </w:pPr>
      <w:r w:rsidRPr="00285338">
        <w:rPr>
          <w:b/>
          <w:bCs/>
          <w:lang w:val="en-GB"/>
        </w:rPr>
        <w:t>Advantages:</w:t>
      </w:r>
      <w:r w:rsidRPr="00285338">
        <w:rPr>
          <w:lang w:val="en-GB"/>
        </w:rPr>
        <w:t xml:space="preserve"> Immediate reduction in travel burdens; improved early reporting; higher likelihood of referral completion.</w:t>
      </w:r>
      <w:r w:rsidRPr="00285338">
        <w:rPr>
          <w:lang w:val="en-GB"/>
        </w:rPr>
        <w:br/>
      </w:r>
      <w:r w:rsidRPr="00285338">
        <w:rPr>
          <w:b/>
          <w:bCs/>
          <w:lang w:val="en-GB"/>
        </w:rPr>
        <w:t>Feasibility &amp; Cost:</w:t>
      </w:r>
      <w:r w:rsidRPr="00285338">
        <w:rPr>
          <w:lang w:val="en-GB"/>
        </w:rPr>
        <w:t xml:space="preserve"> Moderate, with strong donor feasibility.</w:t>
      </w:r>
      <w:r w:rsidRPr="00285338">
        <w:rPr>
          <w:lang w:val="en-GB"/>
        </w:rPr>
        <w:br/>
      </w:r>
      <w:r w:rsidRPr="00285338">
        <w:rPr>
          <w:b/>
          <w:bCs/>
          <w:lang w:val="en-GB"/>
        </w:rPr>
        <w:t>Equity Impacts:</w:t>
      </w:r>
      <w:r w:rsidRPr="00285338">
        <w:rPr>
          <w:lang w:val="en-GB"/>
        </w:rPr>
        <w:t xml:space="preserve"> High—prioritises remote, low-income and terrain-isolated households.</w:t>
      </w:r>
    </w:p>
    <w:p w14:paraId="2113962A" w14:textId="737AFF38" w:rsidR="00285338" w:rsidRPr="00285338" w:rsidRDefault="00285338" w:rsidP="00285338">
      <w:pPr>
        <w:rPr>
          <w:b/>
          <w:bCs/>
          <w:color w:val="CC00CC"/>
          <w:lang w:val="en-GB"/>
        </w:rPr>
      </w:pPr>
      <w:r w:rsidRPr="00285338">
        <w:rPr>
          <w:b/>
          <w:bCs/>
          <w:color w:val="CC00CC"/>
          <w:lang w:val="en-GB"/>
        </w:rPr>
        <w:t xml:space="preserve">Policy Option </w:t>
      </w:r>
      <w:r w:rsidR="00AD30BC">
        <w:rPr>
          <w:b/>
          <w:bCs/>
          <w:color w:val="CC00CC"/>
          <w:lang w:val="en-GB"/>
        </w:rPr>
        <w:t>2</w:t>
      </w:r>
      <w:r w:rsidRPr="00285338">
        <w:rPr>
          <w:b/>
          <w:bCs/>
          <w:color w:val="CC00CC"/>
          <w:lang w:val="en-GB"/>
        </w:rPr>
        <w:t xml:space="preserve">: </w:t>
      </w:r>
      <w:r w:rsidR="004A0DD3" w:rsidRPr="004A0DD3">
        <w:rPr>
          <w:b/>
          <w:bCs/>
          <w:color w:val="CC00CC"/>
        </w:rPr>
        <w:t>Establish a Sustainable Survivor Support Fund (SSF) and Accompaniment Mechanism</w:t>
      </w:r>
    </w:p>
    <w:p w14:paraId="5F4503A5" w14:textId="49BE6FC9" w:rsidR="003B6954" w:rsidRPr="00426B76" w:rsidRDefault="003B6954" w:rsidP="0083745A">
      <w:pPr>
        <w:tabs>
          <w:tab w:val="num" w:pos="426"/>
        </w:tabs>
        <w:spacing w:after="0" w:line="278" w:lineRule="auto"/>
        <w:jc w:val="both"/>
      </w:pPr>
      <w:r w:rsidRPr="00426B76">
        <w:t xml:space="preserve">Establish targeted </w:t>
      </w:r>
      <w:r w:rsidR="00F925C9" w:rsidRPr="00426B76">
        <w:t>SSF</w:t>
      </w:r>
      <w:r w:rsidRPr="00426B76">
        <w:t xml:space="preserve"> schemes triggered for TAs beyond 20–30 km from key services, </w:t>
      </w:r>
      <w:r w:rsidR="00426B76">
        <w:t>to</w:t>
      </w:r>
      <w:r w:rsidR="00426B76" w:rsidRPr="00426B76">
        <w:t xml:space="preserve"> reduce cost- and distance-related exclusion—particularly for survivors from upland and off-corridor settlements in M’Mbelwa and Chindi</w:t>
      </w:r>
      <w:r w:rsidR="00426B76">
        <w:t xml:space="preserve">. </w:t>
      </w:r>
      <w:r w:rsidR="00426B76" w:rsidRPr="00426B76">
        <w:t xml:space="preserve">Mzimba District should establish a sustainable, district-level SSF. The SSF would provide targeted emergency transport, short-stay support and safe accompaniment for survivors needing to reach health, police or court services. Sustainability would be achieved through a hybrid financing model combining a district budget line, partner seed funding, CSR partnerships with local businesses, and proceeds from community income-generating initiatives managed by women’s groups or CVSUs. Voucher-based transport agreements with local motorcycle and minibus operators would control costs and ensure predictability. Embedded within district GBV coordination, the SSF would enable survivors in remote upland villages to </w:t>
      </w:r>
      <w:r w:rsidR="00426B76" w:rsidRPr="00426B76">
        <w:t>complete referrals and justice processes that would otherwise be financially impossible.</w:t>
      </w:r>
    </w:p>
    <w:p w14:paraId="74B686A1" w14:textId="77777777" w:rsidR="00426B76" w:rsidRPr="00162F40" w:rsidRDefault="00426B76" w:rsidP="0083745A">
      <w:pPr>
        <w:tabs>
          <w:tab w:val="num" w:pos="426"/>
        </w:tabs>
        <w:spacing w:after="0" w:line="278" w:lineRule="auto"/>
        <w:jc w:val="both"/>
        <w:rPr>
          <w:rFonts w:ascii="Arial" w:hAnsi="Arial" w:cs="Arial"/>
        </w:rPr>
      </w:pPr>
    </w:p>
    <w:p w14:paraId="07748128" w14:textId="44261C4D" w:rsidR="00285338" w:rsidRDefault="00285338" w:rsidP="00D04BBC">
      <w:pPr>
        <w:jc w:val="both"/>
        <w:rPr>
          <w:lang w:val="en-GB"/>
        </w:rPr>
      </w:pPr>
      <w:r w:rsidRPr="00285338">
        <w:rPr>
          <w:b/>
          <w:bCs/>
          <w:lang w:val="en-GB"/>
        </w:rPr>
        <w:t>Advantages:</w:t>
      </w:r>
      <w:r w:rsidRPr="00285338">
        <w:rPr>
          <w:lang w:val="en-GB"/>
        </w:rPr>
        <w:t xml:space="preserve"> Reduces financial barriers; increases court case follow-through.</w:t>
      </w:r>
      <w:r w:rsidRPr="00285338">
        <w:rPr>
          <w:lang w:val="en-GB"/>
        </w:rPr>
        <w:br/>
      </w:r>
      <w:r w:rsidRPr="00285338">
        <w:rPr>
          <w:b/>
          <w:bCs/>
          <w:lang w:val="en-GB"/>
        </w:rPr>
        <w:t>Equity:</w:t>
      </w:r>
      <w:r w:rsidRPr="00285338">
        <w:rPr>
          <w:lang w:val="en-GB"/>
        </w:rPr>
        <w:t xml:space="preserve"> High positive impact on the poorest households.</w:t>
      </w:r>
    </w:p>
    <w:p w14:paraId="310022B0" w14:textId="5EC0AB07" w:rsidR="00AD30BC" w:rsidRPr="00285338" w:rsidRDefault="00AD30BC" w:rsidP="00AD30BC">
      <w:pPr>
        <w:rPr>
          <w:b/>
          <w:bCs/>
          <w:color w:val="CC00CC"/>
          <w:lang w:val="en-GB"/>
        </w:rPr>
      </w:pPr>
      <w:r w:rsidRPr="00285338">
        <w:rPr>
          <w:b/>
          <w:bCs/>
          <w:color w:val="CC00CC"/>
          <w:lang w:val="en-GB"/>
        </w:rPr>
        <w:t xml:space="preserve">Policy Option </w:t>
      </w:r>
      <w:r>
        <w:rPr>
          <w:b/>
          <w:bCs/>
          <w:color w:val="CC00CC"/>
          <w:lang w:val="en-GB"/>
        </w:rPr>
        <w:t>3</w:t>
      </w:r>
      <w:r w:rsidRPr="00285338">
        <w:rPr>
          <w:b/>
          <w:bCs/>
          <w:color w:val="CC00CC"/>
          <w:lang w:val="en-GB"/>
        </w:rPr>
        <w:t xml:space="preserve">: </w:t>
      </w:r>
      <w:r w:rsidR="00632A8D">
        <w:rPr>
          <w:b/>
          <w:bCs/>
          <w:color w:val="CC00CC"/>
          <w:lang w:val="en-GB"/>
        </w:rPr>
        <w:t>Co-design u</w:t>
      </w:r>
      <w:r w:rsidRPr="00285338">
        <w:rPr>
          <w:b/>
          <w:bCs/>
          <w:color w:val="CC00CC"/>
          <w:lang w:val="en-GB"/>
        </w:rPr>
        <w:t>pgrad</w:t>
      </w:r>
      <w:r w:rsidR="000E0998">
        <w:rPr>
          <w:b/>
          <w:bCs/>
          <w:color w:val="CC00CC"/>
          <w:lang w:val="en-GB"/>
        </w:rPr>
        <w:t>ing of</w:t>
      </w:r>
      <w:r w:rsidRPr="00285338">
        <w:rPr>
          <w:b/>
          <w:bCs/>
          <w:color w:val="CC00CC"/>
          <w:lang w:val="en-GB"/>
        </w:rPr>
        <w:t xml:space="preserve"> Corridor-Based High-Volume Facilities</w:t>
      </w:r>
      <w:r w:rsidR="000E0998">
        <w:rPr>
          <w:b/>
          <w:bCs/>
          <w:color w:val="CC00CC"/>
          <w:lang w:val="en-GB"/>
        </w:rPr>
        <w:t xml:space="preserve"> </w:t>
      </w:r>
    </w:p>
    <w:p w14:paraId="66004FA7" w14:textId="77777777" w:rsidR="00FB29E4" w:rsidRDefault="00AD30BC" w:rsidP="00CF170B">
      <w:pPr>
        <w:jc w:val="both"/>
        <w:rPr>
          <w:lang w:val="en-GB"/>
        </w:rPr>
      </w:pPr>
      <w:r w:rsidRPr="00285338">
        <w:rPr>
          <w:lang w:val="en-GB"/>
        </w:rPr>
        <w:t>Facilities along the main Mzimba transport corridor manage large caseloads. Strengthening their counselling spaces, privacy infrastructure, and medico-legal documentation capacity would reduce unnecessary referrals and improve service quality.</w:t>
      </w:r>
    </w:p>
    <w:p w14:paraId="414CC0EC" w14:textId="64B2F7F7" w:rsidR="00142925" w:rsidRPr="00142925" w:rsidRDefault="00142925" w:rsidP="00CF170B">
      <w:pPr>
        <w:tabs>
          <w:tab w:val="num" w:pos="720"/>
        </w:tabs>
        <w:jc w:val="both"/>
        <w:rPr>
          <w:lang w:val="en-GB"/>
        </w:rPr>
      </w:pPr>
      <w:r w:rsidRPr="00142925">
        <w:rPr>
          <w:lang w:val="en-GB"/>
        </w:rPr>
        <w:t>Co-design upgrades with Organisations of Persons with Disabilities (OPDs)</w:t>
      </w:r>
      <w:r w:rsidR="000E0998">
        <w:rPr>
          <w:lang w:val="en-GB"/>
        </w:rPr>
        <w:t xml:space="preserve"> </w:t>
      </w:r>
      <w:r w:rsidRPr="00142925">
        <w:rPr>
          <w:lang w:val="en-GB"/>
        </w:rPr>
        <w:t xml:space="preserve">at district level to test access routes, advise on practical modifications, and validate whether reported “Yes” responses on accessibility reflect </w:t>
      </w:r>
      <w:r w:rsidRPr="00142925">
        <w:rPr>
          <w:b/>
          <w:bCs/>
          <w:lang w:val="en-GB"/>
        </w:rPr>
        <w:t>real, user-experienced access</w:t>
      </w:r>
      <w:r w:rsidRPr="00142925">
        <w:rPr>
          <w:lang w:val="en-GB"/>
        </w:rPr>
        <w:t>, not just provider perception.</w:t>
      </w:r>
    </w:p>
    <w:p w14:paraId="7388433F" w14:textId="77777777" w:rsidR="00CF170B" w:rsidRDefault="00DF7E99" w:rsidP="00CF170B">
      <w:pPr>
        <w:jc w:val="both"/>
      </w:pPr>
      <w:r w:rsidRPr="00DF7E99">
        <w:t>Set minimum accessibility standards</w:t>
      </w:r>
      <w:r>
        <w:t xml:space="preserve"> </w:t>
      </w:r>
      <w:r w:rsidR="00017559">
        <w:t xml:space="preserve">or </w:t>
      </w:r>
      <w:r w:rsidR="00017559" w:rsidRPr="00FB29E4">
        <w:t>a basic package</w:t>
      </w:r>
      <w:r w:rsidRPr="00DF7E99">
        <w:t xml:space="preserve"> for GBV service points</w:t>
      </w:r>
      <w:r>
        <w:t xml:space="preserve"> </w:t>
      </w:r>
      <w:r w:rsidR="00FB29E4" w:rsidRPr="00FB29E4">
        <w:t>(ramp or gently sloped entrance, firm pathways, accessible latrine, clear signage) that all GBV service providers should progressively meet</w:t>
      </w:r>
      <w:r w:rsidR="00017559">
        <w:t xml:space="preserve">. </w:t>
      </w:r>
    </w:p>
    <w:p w14:paraId="6D3F8AB5" w14:textId="1A32B848" w:rsidR="00AD30BC" w:rsidRPr="00285338" w:rsidRDefault="00AD30BC" w:rsidP="00CF170B">
      <w:pPr>
        <w:rPr>
          <w:lang w:val="en-GB"/>
        </w:rPr>
      </w:pPr>
      <w:r w:rsidRPr="00285338">
        <w:rPr>
          <w:b/>
          <w:bCs/>
          <w:lang w:val="en-GB"/>
        </w:rPr>
        <w:t>Advantages:</w:t>
      </w:r>
      <w:r w:rsidRPr="00285338">
        <w:rPr>
          <w:lang w:val="en-GB"/>
        </w:rPr>
        <w:t xml:space="preserve"> Builds on existing strong hubs; improves efficiency and quality.</w:t>
      </w:r>
      <w:r w:rsidRPr="00285338">
        <w:rPr>
          <w:lang w:val="en-GB"/>
        </w:rPr>
        <w:br/>
      </w:r>
      <w:r w:rsidRPr="00285338">
        <w:rPr>
          <w:b/>
          <w:bCs/>
          <w:lang w:val="en-GB"/>
        </w:rPr>
        <w:t>Feasibility:</w:t>
      </w:r>
      <w:r w:rsidRPr="00285338">
        <w:rPr>
          <w:lang w:val="en-GB"/>
        </w:rPr>
        <w:t xml:space="preserve"> High.</w:t>
      </w:r>
      <w:r w:rsidRPr="00285338">
        <w:rPr>
          <w:lang w:val="en-GB"/>
        </w:rPr>
        <w:br/>
      </w:r>
      <w:r w:rsidRPr="00285338">
        <w:rPr>
          <w:b/>
          <w:bCs/>
          <w:lang w:val="en-GB"/>
        </w:rPr>
        <w:t>Equity:</w:t>
      </w:r>
      <w:r w:rsidRPr="00285338">
        <w:rPr>
          <w:lang w:val="en-GB"/>
        </w:rPr>
        <w:t xml:space="preserve"> Benefits densely populated areas.</w:t>
      </w:r>
    </w:p>
    <w:p w14:paraId="1B8BA257" w14:textId="77777777" w:rsidR="00285338" w:rsidRPr="00285338" w:rsidRDefault="00285338" w:rsidP="00D04BBC">
      <w:pPr>
        <w:jc w:val="both"/>
        <w:rPr>
          <w:b/>
          <w:bCs/>
          <w:color w:val="CC00CC"/>
          <w:lang w:val="en-GB"/>
        </w:rPr>
      </w:pPr>
      <w:r w:rsidRPr="00285338">
        <w:rPr>
          <w:b/>
          <w:bCs/>
          <w:color w:val="CC00CC"/>
          <w:lang w:val="en-GB"/>
        </w:rPr>
        <w:t>Policy Option 4: Institutionalising GIS for Planning and Resource Allocation</w:t>
      </w:r>
    </w:p>
    <w:p w14:paraId="56DFB008" w14:textId="3F584650" w:rsidR="00285338" w:rsidRDefault="00285338" w:rsidP="00D04BBC">
      <w:pPr>
        <w:jc w:val="both"/>
        <w:rPr>
          <w:lang w:val="en-GB"/>
        </w:rPr>
      </w:pPr>
      <w:r w:rsidRPr="00285338">
        <w:rPr>
          <w:lang w:val="en-GB"/>
        </w:rPr>
        <w:t>Annual GIS-based audits of service coverage, population density, travel times and TA-level gaps would inform district GBV planning and budgeting.</w:t>
      </w:r>
      <w:r w:rsidRPr="00285338">
        <w:rPr>
          <w:lang w:val="en-GB"/>
        </w:rPr>
        <w:br/>
      </w:r>
      <w:r w:rsidRPr="00285338">
        <w:rPr>
          <w:b/>
          <w:bCs/>
          <w:lang w:val="en-GB"/>
        </w:rPr>
        <w:t>Advantages:</w:t>
      </w:r>
      <w:r w:rsidRPr="00285338">
        <w:rPr>
          <w:lang w:val="en-GB"/>
        </w:rPr>
        <w:t xml:space="preserve"> Enhances evidence-based prioritisation; prevents spatial neglect.</w:t>
      </w:r>
      <w:r w:rsidRPr="00285338">
        <w:rPr>
          <w:lang w:val="en-GB"/>
        </w:rPr>
        <w:br/>
      </w:r>
      <w:r w:rsidRPr="00285338">
        <w:rPr>
          <w:b/>
          <w:bCs/>
          <w:lang w:val="en-GB"/>
        </w:rPr>
        <w:t>Feasibility:</w:t>
      </w:r>
      <w:r w:rsidRPr="00285338">
        <w:rPr>
          <w:lang w:val="en-GB"/>
        </w:rPr>
        <w:t xml:space="preserve"> High with partner support.</w:t>
      </w:r>
    </w:p>
    <w:p w14:paraId="51969553" w14:textId="77777777" w:rsidR="00926A27" w:rsidRPr="00893141" w:rsidRDefault="00926A27" w:rsidP="00926A27">
      <w:pPr>
        <w:pStyle w:val="Heading2"/>
        <w:rPr>
          <w:b/>
          <w:bCs/>
          <w:lang w:val="en-GB"/>
        </w:rPr>
      </w:pPr>
      <w:r w:rsidRPr="00893141">
        <w:rPr>
          <w:b/>
          <w:bCs/>
          <w:lang w:val="en-GB"/>
        </w:rPr>
        <w:t>Methodology</w:t>
      </w:r>
    </w:p>
    <w:p w14:paraId="18EB83A5" w14:textId="77777777" w:rsidR="00926A27" w:rsidRPr="00926A27" w:rsidRDefault="00926A27" w:rsidP="00893141">
      <w:pPr>
        <w:jc w:val="both"/>
        <w:rPr>
          <w:lang w:val="en-GB"/>
        </w:rPr>
      </w:pPr>
      <w:r w:rsidRPr="00926A27">
        <w:rPr>
          <w:lang w:val="en-GB"/>
        </w:rPr>
        <w:t>Policy options were derived from spatial accessibility modelling (travel time surfaces, road networks, elevation) and TA-level population density analysis. Facility-level referral and resolution data (2022–2025) were triangulated with key informant consultations with police, health workers, CVUs, and district officers. Evidence quality was assessed through data completeness checks and plausibility reviews.</w:t>
      </w:r>
    </w:p>
    <w:p w14:paraId="36A92A55" w14:textId="14A2C3B1" w:rsidR="00926A27" w:rsidRPr="00893141" w:rsidRDefault="00926A27" w:rsidP="00926A27">
      <w:pPr>
        <w:pStyle w:val="Heading2"/>
        <w:rPr>
          <w:b/>
          <w:bCs/>
          <w:lang w:val="en-GB"/>
        </w:rPr>
      </w:pPr>
      <w:r w:rsidRPr="00893141">
        <w:rPr>
          <w:b/>
          <w:bCs/>
          <w:lang w:val="en-GB"/>
        </w:rPr>
        <w:lastRenderedPageBreak/>
        <w:t>Further Important Considerations</w:t>
      </w:r>
    </w:p>
    <w:p w14:paraId="1EE4AE4E" w14:textId="77777777" w:rsidR="00B0460D" w:rsidRPr="00926A27" w:rsidRDefault="00B0460D" w:rsidP="00B0460D">
      <w:pPr>
        <w:jc w:val="both"/>
        <w:rPr>
          <w:lang w:val="en-GB"/>
        </w:rPr>
      </w:pPr>
      <w:r w:rsidRPr="005E5010">
        <w:t>Because of data-quality limitations (inconsistent definitions, outliers, missing values), the figures in this study were best treated as operational estimates rather than precise surveillance statistics. This implied that the rollout of recommendations should be coupled with an explicit monitoring and learning agenda: annual updates to GIS layers and dashboards, routine data-quality checks, and periodic sense-making sessions at district level to review patterns (e.g. travel times, referral completion, court progression) and adjust interventions accordingly. Over time, this iterative use of data could be more transformative than any single investment in infrastructure or training.</w:t>
      </w:r>
    </w:p>
    <w:p w14:paraId="13F08660" w14:textId="5C3A9241" w:rsidR="00926A27" w:rsidRPr="00893141" w:rsidRDefault="00926A27" w:rsidP="00926A27">
      <w:pPr>
        <w:pStyle w:val="Heading2"/>
        <w:rPr>
          <w:b/>
          <w:bCs/>
          <w:lang w:val="en-GB"/>
        </w:rPr>
      </w:pPr>
      <w:r w:rsidRPr="00893141">
        <w:rPr>
          <w:b/>
          <w:bCs/>
          <w:lang w:val="en-GB"/>
        </w:rPr>
        <w:t>Acknowledgements</w:t>
      </w:r>
    </w:p>
    <w:p w14:paraId="4191545C" w14:textId="589AA212" w:rsidR="00285338" w:rsidRDefault="00926A27" w:rsidP="004A4447">
      <w:pPr>
        <w:jc w:val="both"/>
      </w:pPr>
      <w:r w:rsidRPr="00926A27">
        <w:rPr>
          <w:lang w:val="en-GB"/>
        </w:rPr>
        <w:t>Prepared in collaboration with the Mzimba District Gender Office, Social Welfare Office, Health Office, MICGBV partners, and frontline GBV service providers.</w:t>
      </w:r>
    </w:p>
    <w:sectPr w:rsidR="00285338" w:rsidSect="00FB1CFE">
      <w:headerReference w:type="even" r:id="rId10"/>
      <w:headerReference w:type="default" r:id="rId11"/>
      <w:footerReference w:type="even" r:id="rId12"/>
      <w:footerReference w:type="default" r:id="rId13"/>
      <w:pgSz w:w="12240" w:h="15840" w:code="1"/>
      <w:pgMar w:top="1440" w:right="758" w:bottom="993" w:left="993" w:header="720" w:footer="0" w:gutter="0"/>
      <w:pgNumType w:start="1"/>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8DA08" w14:textId="77777777" w:rsidR="00B92764" w:rsidRDefault="00B92764">
      <w:pPr>
        <w:spacing w:after="0" w:line="240" w:lineRule="auto"/>
      </w:pPr>
      <w:r>
        <w:separator/>
      </w:r>
    </w:p>
  </w:endnote>
  <w:endnote w:type="continuationSeparator" w:id="0">
    <w:p w14:paraId="41773781" w14:textId="77777777" w:rsidR="00B92764" w:rsidRDefault="00B92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MinchoE">
    <w:charset w:val="80"/>
    <w:family w:val="modern"/>
    <w:pitch w:val="fixed"/>
    <w:sig w:usb0="E00002FF" w:usb1="2AC7EDFE" w:usb2="00000012" w:usb3="00000000" w:csb0="0002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5A64" w14:textId="77777777" w:rsidR="00803E12" w:rsidRDefault="009C4143">
    <w:pPr>
      <w:pStyle w:val="FooterLeft"/>
    </w:pPr>
    <w:r>
      <w:rPr>
        <w:color w:val="CEDBE6" w:themeColor="accent2" w:themeTint="80"/>
      </w:rPr>
      <w:sym w:font="Wingdings 3" w:char="F07D"/>
    </w:r>
    <w:r>
      <w:t xml:space="preserve"> Page </w:t>
    </w:r>
    <w:r>
      <w:fldChar w:fldCharType="begin"/>
    </w:r>
    <w:r>
      <w:instrText xml:space="preserve"> PAGE  \* Arabic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05BE" w14:textId="77777777" w:rsidR="00FB1CFE" w:rsidRDefault="00FB1CFE">
    <w:pPr>
      <w:pStyle w:val="FooterRight"/>
    </w:pPr>
    <w:r>
      <w:rPr>
        <w:color w:val="9FB8CD" w:themeColor="accent2"/>
      </w:rPr>
      <w:sym w:font="Wingdings 3" w:char="F07D"/>
    </w:r>
    <w:r>
      <w:t xml:space="preserve"> Page </w:t>
    </w:r>
    <w:r>
      <w:fldChar w:fldCharType="begin"/>
    </w:r>
    <w:r>
      <w:instrText xml:space="preserve"> PAGE  \* Arabic  \* MERGEFORMAT </w:instrText>
    </w:r>
    <w:r>
      <w:fldChar w:fldCharType="separate"/>
    </w:r>
    <w:r>
      <w:rPr>
        <w:noProof/>
      </w:rPr>
      <w:t>1</w:t>
    </w:r>
    <w:r>
      <w:rPr>
        <w:noProof/>
      </w:rPr>
      <w:fldChar w:fldCharType="end"/>
    </w:r>
  </w:p>
  <w:p w14:paraId="5C5A3FA3" w14:textId="6B1C52C3" w:rsidR="00803E12" w:rsidRDefault="00803E12">
    <w:pPr>
      <w:pStyle w:val="Footer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A65CE" w14:textId="77777777" w:rsidR="00B92764" w:rsidRDefault="00B92764">
      <w:pPr>
        <w:spacing w:after="0" w:line="240" w:lineRule="auto"/>
      </w:pPr>
      <w:r>
        <w:separator/>
      </w:r>
    </w:p>
  </w:footnote>
  <w:footnote w:type="continuationSeparator" w:id="0">
    <w:p w14:paraId="54205044" w14:textId="77777777" w:rsidR="00B92764" w:rsidRDefault="00B927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63AFC" w14:textId="0EFA66AB" w:rsidR="00803E12" w:rsidRDefault="009C4143">
    <w:pPr>
      <w:pStyle w:val="HeaderLeft"/>
      <w:jc w:val="right"/>
    </w:pPr>
    <w:r>
      <w:rPr>
        <w:color w:val="CEDBE6" w:themeColor="accent2" w:themeTint="80"/>
      </w:rPr>
      <w:sym w:font="Wingdings 3" w:char="F07D"/>
    </w:r>
    <w:r>
      <w:t xml:space="preserve"> </w:t>
    </w:r>
    <w:sdt>
      <w:sdtPr>
        <w:alias w:val="Title"/>
        <w:id w:val="168006723"/>
        <w:dataBinding w:prefixMappings="xmlns:ns0='http://schemas.openxmlformats.org/package/2006/metadata/core-properties' xmlns:ns1='http://purl.org/dc/elements/1.1/'" w:xpath="/ns0:coreProperties[1]/ns1:title[1]" w:storeItemID="{6C3C8BC8-F283-45AE-878A-BAB7291924A1}"/>
        <w:text/>
      </w:sdtPr>
      <w:sdtEndPr/>
      <w:sdtContent>
        <w:r w:rsidR="008B58A8">
          <w:t>POLICY BRIEF — MZIMBA DISTRICT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2BD2A" w14:textId="46FD6B35" w:rsidR="00803E12" w:rsidRDefault="00302890">
    <w:pPr>
      <w:pStyle w:val="HeaderRight"/>
      <w:jc w:val="left"/>
    </w:pPr>
    <w:r>
      <w:rPr>
        <w:noProof/>
      </w:rPr>
      <w:drawing>
        <wp:anchor distT="0" distB="0" distL="114300" distR="114300" simplePos="0" relativeHeight="251664896" behindDoc="0" locked="0" layoutInCell="1" allowOverlap="1" wp14:anchorId="49CB626C" wp14:editId="4521919F">
          <wp:simplePos x="0" y="0"/>
          <wp:positionH relativeFrom="margin">
            <wp:posOffset>4937125</wp:posOffset>
          </wp:positionH>
          <wp:positionV relativeFrom="margin">
            <wp:posOffset>-850900</wp:posOffset>
          </wp:positionV>
          <wp:extent cx="1184275" cy="719455"/>
          <wp:effectExtent l="0" t="0" r="0" b="4445"/>
          <wp:wrapSquare wrapText="bothSides"/>
          <wp:docPr id="235720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47071" name="Picture 546247071"/>
                  <pic:cNvPicPr/>
                </pic:nvPicPr>
                <pic:blipFill>
                  <a:blip r:embed="rId1">
                    <a:extLst>
                      <a:ext uri="{28A0092B-C50C-407E-A947-70E740481C1C}">
                        <a14:useLocalDpi xmlns:a14="http://schemas.microsoft.com/office/drawing/2010/main" val="0"/>
                      </a:ext>
                    </a:extLst>
                  </a:blip>
                  <a:stretch>
                    <a:fillRect/>
                  </a:stretch>
                </pic:blipFill>
                <pic:spPr>
                  <a:xfrm>
                    <a:off x="0" y="0"/>
                    <a:ext cx="1184275" cy="719455"/>
                  </a:xfrm>
                  <a:prstGeom prst="rect">
                    <a:avLst/>
                  </a:prstGeom>
                </pic:spPr>
              </pic:pic>
            </a:graphicData>
          </a:graphic>
        </wp:anchor>
      </w:drawing>
    </w:r>
    <w:r w:rsidR="009C4143">
      <w:rPr>
        <w:color w:val="CEDBE6" w:themeColor="accent2" w:themeTint="80"/>
      </w:rPr>
      <w:sym w:font="Wingdings 3" w:char="F07D"/>
    </w:r>
    <w:r w:rsidR="009C4143">
      <w:t xml:space="preserve"> </w:t>
    </w:r>
    <w:sdt>
      <w:sdtPr>
        <w:rPr>
          <w:b/>
          <w:bCs/>
          <w:color w:val="7030A0"/>
          <w:sz w:val="24"/>
          <w:szCs w:val="24"/>
        </w:rPr>
        <w:alias w:val="Title"/>
        <w:id w:val="-1280636935"/>
        <w:dataBinding w:prefixMappings="xmlns:ns0='http://schemas.openxmlformats.org/package/2006/metadata/core-properties' xmlns:ns1='http://purl.org/dc/elements/1.1/'" w:xpath="/ns0:coreProperties[1]/ns1:title[1]" w:storeItemID="{6C3C8BC8-F283-45AE-878A-BAB7291924A1}"/>
        <w:text/>
      </w:sdtPr>
      <w:sdtEndPr/>
      <w:sdtContent>
        <w:r w:rsidR="008B58A8" w:rsidRPr="00AD2054">
          <w:rPr>
            <w:b/>
            <w:bCs/>
            <w:color w:val="7030A0"/>
            <w:sz w:val="24"/>
            <w:szCs w:val="24"/>
          </w:rPr>
          <w:t xml:space="preserve">POLICY BRIEF — </w:t>
        </w:r>
        <w:r w:rsidR="008B58A8">
          <w:rPr>
            <w:b/>
            <w:bCs/>
            <w:color w:val="7030A0"/>
            <w:sz w:val="24"/>
            <w:szCs w:val="24"/>
          </w:rPr>
          <w:t>MZIMBA</w:t>
        </w:r>
        <w:r w:rsidR="008B58A8" w:rsidRPr="00AD2054">
          <w:rPr>
            <w:b/>
            <w:bCs/>
            <w:color w:val="7030A0"/>
            <w:sz w:val="24"/>
            <w:szCs w:val="24"/>
          </w:rPr>
          <w:t xml:space="preserve"> DISTRICT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F0C434A"/>
    <w:lvl w:ilvl="0">
      <w:start w:val="1"/>
      <w:numFmt w:val="bullet"/>
      <w:pStyle w:val="ListBullet5"/>
      <w:lvlText w:val=""/>
      <w:lvlJc w:val="left"/>
      <w:pPr>
        <w:ind w:left="1800" w:hanging="360"/>
      </w:pPr>
      <w:rPr>
        <w:rFonts w:ascii="Symbol" w:hAnsi="Symbol" w:hint="default"/>
        <w:color w:val="9FB8CD" w:themeColor="accent2"/>
      </w:rPr>
    </w:lvl>
  </w:abstractNum>
  <w:abstractNum w:abstractNumId="1" w15:restartNumberingAfterBreak="0">
    <w:nsid w:val="FFFFFF81"/>
    <w:multiLevelType w:val="singleLevel"/>
    <w:tmpl w:val="78B8BCEC"/>
    <w:lvl w:ilvl="0">
      <w:start w:val="1"/>
      <w:numFmt w:val="bullet"/>
      <w:pStyle w:val="ListBullet4"/>
      <w:lvlText w:val=""/>
      <w:lvlJc w:val="left"/>
      <w:pPr>
        <w:ind w:left="1440" w:hanging="360"/>
      </w:pPr>
      <w:rPr>
        <w:rFonts w:ascii="Symbol" w:hAnsi="Symbol" w:hint="default"/>
        <w:outline w:val="0"/>
        <w:emboss w:val="0"/>
        <w:imprint w:val="0"/>
        <w:color w:val="628BAD" w:themeColor="accent2" w:themeShade="BF"/>
      </w:rPr>
    </w:lvl>
  </w:abstractNum>
  <w:abstractNum w:abstractNumId="2" w15:restartNumberingAfterBreak="0">
    <w:nsid w:val="FFFFFF82"/>
    <w:multiLevelType w:val="singleLevel"/>
    <w:tmpl w:val="3D9E3420"/>
    <w:lvl w:ilvl="0">
      <w:start w:val="1"/>
      <w:numFmt w:val="bullet"/>
      <w:pStyle w:val="ListBullet3"/>
      <w:lvlText w:val=""/>
      <w:lvlJc w:val="left"/>
      <w:pPr>
        <w:ind w:left="1080" w:hanging="360"/>
      </w:pPr>
      <w:rPr>
        <w:rFonts w:ascii="Wingdings 3" w:hAnsi="Wingdings 3" w:hint="default"/>
        <w:color w:val="808080" w:themeColor="background1" w:themeShade="80"/>
      </w:rPr>
    </w:lvl>
  </w:abstractNum>
  <w:abstractNum w:abstractNumId="3" w15:restartNumberingAfterBreak="0">
    <w:nsid w:val="FFFFFF83"/>
    <w:multiLevelType w:val="singleLevel"/>
    <w:tmpl w:val="5B846FA6"/>
    <w:lvl w:ilvl="0">
      <w:start w:val="1"/>
      <w:numFmt w:val="bullet"/>
      <w:pStyle w:val="ListBullet2"/>
      <w:lvlText w:val=""/>
      <w:lvlJc w:val="left"/>
      <w:pPr>
        <w:ind w:left="720" w:hanging="360"/>
      </w:pPr>
      <w:rPr>
        <w:rFonts w:ascii="Wingdings 3" w:hAnsi="Wingdings 3" w:hint="default"/>
        <w:color w:val="9FB8CD" w:themeColor="accent2"/>
      </w:rPr>
    </w:lvl>
  </w:abstractNum>
  <w:abstractNum w:abstractNumId="4" w15:restartNumberingAfterBreak="0">
    <w:nsid w:val="FFFFFF89"/>
    <w:multiLevelType w:val="singleLevel"/>
    <w:tmpl w:val="4C7CAEF2"/>
    <w:lvl w:ilvl="0">
      <w:start w:val="1"/>
      <w:numFmt w:val="bullet"/>
      <w:pStyle w:val="ListBullet"/>
      <w:lvlText w:val=""/>
      <w:lvlJc w:val="left"/>
      <w:pPr>
        <w:ind w:left="360" w:hanging="360"/>
      </w:pPr>
      <w:rPr>
        <w:rFonts w:ascii="Wingdings 3" w:hAnsi="Wingdings 3" w:hint="default"/>
        <w:caps w:val="0"/>
        <w:strike w:val="0"/>
        <w:dstrike w:val="0"/>
        <w:outline w:val="0"/>
        <w:shadow w:val="0"/>
        <w:emboss w:val="0"/>
        <w:imprint w:val="0"/>
        <w:vanish w:val="0"/>
        <w:color w:val="628BAD" w:themeColor="accent2" w:themeShade="BF"/>
        <w:vertAlign w:val="baseline"/>
      </w:rPr>
    </w:lvl>
  </w:abstractNum>
  <w:abstractNum w:abstractNumId="5" w15:restartNumberingAfterBreak="0">
    <w:nsid w:val="05D1513C"/>
    <w:multiLevelType w:val="multilevel"/>
    <w:tmpl w:val="68E80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0C11F4"/>
    <w:multiLevelType w:val="multilevel"/>
    <w:tmpl w:val="E4CC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05579C"/>
    <w:multiLevelType w:val="multilevel"/>
    <w:tmpl w:val="E6C0182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4A5CC8"/>
    <w:multiLevelType w:val="multilevel"/>
    <w:tmpl w:val="A1AE430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0173C6"/>
    <w:multiLevelType w:val="multilevel"/>
    <w:tmpl w:val="A6603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44D02"/>
    <w:multiLevelType w:val="multilevel"/>
    <w:tmpl w:val="5CA2375C"/>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005149"/>
    <w:multiLevelType w:val="multilevel"/>
    <w:tmpl w:val="5B567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E23CB"/>
    <w:multiLevelType w:val="multilevel"/>
    <w:tmpl w:val="D6D4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697867"/>
    <w:multiLevelType w:val="multilevel"/>
    <w:tmpl w:val="9CDADE0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1E6DA2"/>
    <w:multiLevelType w:val="multilevel"/>
    <w:tmpl w:val="5A92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F215F"/>
    <w:multiLevelType w:val="multilevel"/>
    <w:tmpl w:val="FDF6571E"/>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A75830"/>
    <w:multiLevelType w:val="multilevel"/>
    <w:tmpl w:val="7454167C"/>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91698"/>
    <w:multiLevelType w:val="multilevel"/>
    <w:tmpl w:val="183A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B36081"/>
    <w:multiLevelType w:val="multilevel"/>
    <w:tmpl w:val="BACA5F98"/>
    <w:lvl w:ilvl="0">
      <w:start w:val="1"/>
      <w:numFmt w:val="decimal"/>
      <w:lvlText w:val="%1."/>
      <w:lvlJc w:val="left"/>
      <w:pPr>
        <w:tabs>
          <w:tab w:val="num" w:pos="720"/>
        </w:tabs>
        <w:ind w:left="720" w:hanging="360"/>
      </w:pPr>
      <w:rPr>
        <w:color w:val="7030A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F13AD4"/>
    <w:multiLevelType w:val="multilevel"/>
    <w:tmpl w:val="31EE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5D5AC8"/>
    <w:multiLevelType w:val="multilevel"/>
    <w:tmpl w:val="8D22B20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867AA6"/>
    <w:multiLevelType w:val="multilevel"/>
    <w:tmpl w:val="97E47396"/>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6A0123"/>
    <w:multiLevelType w:val="multilevel"/>
    <w:tmpl w:val="E9E47612"/>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6B4EE4"/>
    <w:multiLevelType w:val="multilevel"/>
    <w:tmpl w:val="73805DBA"/>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AC30DD"/>
    <w:multiLevelType w:val="multilevel"/>
    <w:tmpl w:val="D83274A6"/>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1C6C88"/>
    <w:multiLevelType w:val="multilevel"/>
    <w:tmpl w:val="E786B522"/>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4F6843"/>
    <w:multiLevelType w:val="multilevel"/>
    <w:tmpl w:val="2640AEC2"/>
    <w:lvl w:ilvl="0">
      <w:start w:val="1"/>
      <w:numFmt w:val="bullet"/>
      <w:lvlText w:val=""/>
      <w:lvlJc w:val="left"/>
      <w:pPr>
        <w:tabs>
          <w:tab w:val="num" w:pos="720"/>
        </w:tabs>
        <w:ind w:left="720" w:hanging="360"/>
      </w:pPr>
      <w:rPr>
        <w:rFonts w:ascii="Symbol" w:hAnsi="Symbol" w:hint="default"/>
        <w:color w:val="7030A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6E3F4E"/>
    <w:multiLevelType w:val="multilevel"/>
    <w:tmpl w:val="8CB4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F322DE"/>
    <w:multiLevelType w:val="hybridMultilevel"/>
    <w:tmpl w:val="BEEA8FD0"/>
    <w:lvl w:ilvl="0" w:tplc="B160577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16505">
    <w:abstractNumId w:val="4"/>
  </w:num>
  <w:num w:numId="2" w16cid:durableId="1660618629">
    <w:abstractNumId w:val="4"/>
  </w:num>
  <w:num w:numId="3" w16cid:durableId="2098473953">
    <w:abstractNumId w:val="3"/>
  </w:num>
  <w:num w:numId="4" w16cid:durableId="1681814905">
    <w:abstractNumId w:val="3"/>
  </w:num>
  <w:num w:numId="5" w16cid:durableId="1963344578">
    <w:abstractNumId w:val="2"/>
  </w:num>
  <w:num w:numId="6" w16cid:durableId="2112701901">
    <w:abstractNumId w:val="2"/>
  </w:num>
  <w:num w:numId="7" w16cid:durableId="1065228307">
    <w:abstractNumId w:val="1"/>
  </w:num>
  <w:num w:numId="8" w16cid:durableId="1907497571">
    <w:abstractNumId w:val="1"/>
  </w:num>
  <w:num w:numId="9" w16cid:durableId="1434327184">
    <w:abstractNumId w:val="0"/>
  </w:num>
  <w:num w:numId="10" w16cid:durableId="1707945589">
    <w:abstractNumId w:val="0"/>
  </w:num>
  <w:num w:numId="11" w16cid:durableId="1372144891">
    <w:abstractNumId w:val="4"/>
  </w:num>
  <w:num w:numId="12" w16cid:durableId="1756854921">
    <w:abstractNumId w:val="3"/>
  </w:num>
  <w:num w:numId="13" w16cid:durableId="175854886">
    <w:abstractNumId w:val="2"/>
  </w:num>
  <w:num w:numId="14" w16cid:durableId="1919246809">
    <w:abstractNumId w:val="1"/>
  </w:num>
  <w:num w:numId="15" w16cid:durableId="1415317907">
    <w:abstractNumId w:val="0"/>
  </w:num>
  <w:num w:numId="16" w16cid:durableId="852108021">
    <w:abstractNumId w:val="4"/>
  </w:num>
  <w:num w:numId="17" w16cid:durableId="432825832">
    <w:abstractNumId w:val="3"/>
  </w:num>
  <w:num w:numId="18" w16cid:durableId="1287547062">
    <w:abstractNumId w:val="2"/>
  </w:num>
  <w:num w:numId="19" w16cid:durableId="1122116714">
    <w:abstractNumId w:val="1"/>
  </w:num>
  <w:num w:numId="20" w16cid:durableId="647786006">
    <w:abstractNumId w:val="0"/>
  </w:num>
  <w:num w:numId="21" w16cid:durableId="1510214294">
    <w:abstractNumId w:val="6"/>
  </w:num>
  <w:num w:numId="22" w16cid:durableId="1549491939">
    <w:abstractNumId w:val="20"/>
  </w:num>
  <w:num w:numId="23" w16cid:durableId="1229263777">
    <w:abstractNumId w:val="17"/>
  </w:num>
  <w:num w:numId="24" w16cid:durableId="1743789822">
    <w:abstractNumId w:val="14"/>
  </w:num>
  <w:num w:numId="25" w16cid:durableId="1940142011">
    <w:abstractNumId w:val="12"/>
  </w:num>
  <w:num w:numId="26" w16cid:durableId="740979672">
    <w:abstractNumId w:val="19"/>
  </w:num>
  <w:num w:numId="27" w16cid:durableId="1879512973">
    <w:abstractNumId w:val="5"/>
  </w:num>
  <w:num w:numId="28" w16cid:durableId="523130014">
    <w:abstractNumId w:val="11"/>
  </w:num>
  <w:num w:numId="29" w16cid:durableId="2038385918">
    <w:abstractNumId w:val="27"/>
  </w:num>
  <w:num w:numId="30" w16cid:durableId="429665741">
    <w:abstractNumId w:val="16"/>
  </w:num>
  <w:num w:numId="31" w16cid:durableId="1806585751">
    <w:abstractNumId w:val="23"/>
  </w:num>
  <w:num w:numId="32" w16cid:durableId="629625742">
    <w:abstractNumId w:val="8"/>
  </w:num>
  <w:num w:numId="33" w16cid:durableId="1250188305">
    <w:abstractNumId w:val="13"/>
  </w:num>
  <w:num w:numId="34" w16cid:durableId="697127459">
    <w:abstractNumId w:val="21"/>
  </w:num>
  <w:num w:numId="35" w16cid:durableId="291517305">
    <w:abstractNumId w:val="18"/>
  </w:num>
  <w:num w:numId="36" w16cid:durableId="515003538">
    <w:abstractNumId w:val="22"/>
  </w:num>
  <w:num w:numId="37" w16cid:durableId="1790973772">
    <w:abstractNumId w:val="24"/>
  </w:num>
  <w:num w:numId="38" w16cid:durableId="339898032">
    <w:abstractNumId w:val="25"/>
  </w:num>
  <w:num w:numId="39" w16cid:durableId="2066565381">
    <w:abstractNumId w:val="10"/>
  </w:num>
  <w:num w:numId="40" w16cid:durableId="864100401">
    <w:abstractNumId w:val="7"/>
  </w:num>
  <w:num w:numId="41" w16cid:durableId="943927004">
    <w:abstractNumId w:val="15"/>
  </w:num>
  <w:num w:numId="42" w16cid:durableId="279187205">
    <w:abstractNumId w:val="26"/>
  </w:num>
  <w:num w:numId="43" w16cid:durableId="381487280">
    <w:abstractNumId w:val="28"/>
  </w:num>
  <w:num w:numId="44" w16cid:durableId="2736402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efaultTabStop w:val="720"/>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764"/>
    <w:rsid w:val="00017559"/>
    <w:rsid w:val="000213D8"/>
    <w:rsid w:val="00057304"/>
    <w:rsid w:val="00086781"/>
    <w:rsid w:val="00093687"/>
    <w:rsid w:val="000A34B2"/>
    <w:rsid w:val="000A5F31"/>
    <w:rsid w:val="000C4D26"/>
    <w:rsid w:val="000C5859"/>
    <w:rsid w:val="000D3605"/>
    <w:rsid w:val="000E0998"/>
    <w:rsid w:val="000F0AB1"/>
    <w:rsid w:val="0011204C"/>
    <w:rsid w:val="001208E7"/>
    <w:rsid w:val="0012294D"/>
    <w:rsid w:val="00142925"/>
    <w:rsid w:val="0016370C"/>
    <w:rsid w:val="001778E4"/>
    <w:rsid w:val="00185975"/>
    <w:rsid w:val="00185B19"/>
    <w:rsid w:val="001A62FE"/>
    <w:rsid w:val="001D766F"/>
    <w:rsid w:val="001E2E51"/>
    <w:rsid w:val="001F445D"/>
    <w:rsid w:val="0021049C"/>
    <w:rsid w:val="0021245F"/>
    <w:rsid w:val="00233B6F"/>
    <w:rsid w:val="0024267C"/>
    <w:rsid w:val="0024504B"/>
    <w:rsid w:val="00285338"/>
    <w:rsid w:val="00296922"/>
    <w:rsid w:val="002C00B3"/>
    <w:rsid w:val="002F4B60"/>
    <w:rsid w:val="00302890"/>
    <w:rsid w:val="00303F38"/>
    <w:rsid w:val="003518F2"/>
    <w:rsid w:val="003603E1"/>
    <w:rsid w:val="003612EB"/>
    <w:rsid w:val="0036668A"/>
    <w:rsid w:val="003708A2"/>
    <w:rsid w:val="00382EC8"/>
    <w:rsid w:val="00385269"/>
    <w:rsid w:val="003B6954"/>
    <w:rsid w:val="003F5AAA"/>
    <w:rsid w:val="004204FF"/>
    <w:rsid w:val="00426B76"/>
    <w:rsid w:val="004305ED"/>
    <w:rsid w:val="00466495"/>
    <w:rsid w:val="004A0DD3"/>
    <w:rsid w:val="004A4447"/>
    <w:rsid w:val="004A7ACA"/>
    <w:rsid w:val="004A7AE8"/>
    <w:rsid w:val="004B0AF1"/>
    <w:rsid w:val="004C0561"/>
    <w:rsid w:val="004C3D77"/>
    <w:rsid w:val="004D76D5"/>
    <w:rsid w:val="004F4F49"/>
    <w:rsid w:val="00517E62"/>
    <w:rsid w:val="00535347"/>
    <w:rsid w:val="0054265C"/>
    <w:rsid w:val="005D4786"/>
    <w:rsid w:val="005D5DC3"/>
    <w:rsid w:val="005F6A2D"/>
    <w:rsid w:val="00615DB8"/>
    <w:rsid w:val="00632A8D"/>
    <w:rsid w:val="00654630"/>
    <w:rsid w:val="00671A0C"/>
    <w:rsid w:val="006F0BD5"/>
    <w:rsid w:val="006F27CA"/>
    <w:rsid w:val="00746557"/>
    <w:rsid w:val="007651C6"/>
    <w:rsid w:val="00796E7E"/>
    <w:rsid w:val="00803E12"/>
    <w:rsid w:val="0083745A"/>
    <w:rsid w:val="00893141"/>
    <w:rsid w:val="00895350"/>
    <w:rsid w:val="008B58A8"/>
    <w:rsid w:val="008D254B"/>
    <w:rsid w:val="00900A40"/>
    <w:rsid w:val="00922B46"/>
    <w:rsid w:val="00926A27"/>
    <w:rsid w:val="0099132A"/>
    <w:rsid w:val="009B28CE"/>
    <w:rsid w:val="009C4143"/>
    <w:rsid w:val="00A02B25"/>
    <w:rsid w:val="00A05C8E"/>
    <w:rsid w:val="00A3679C"/>
    <w:rsid w:val="00A467E4"/>
    <w:rsid w:val="00A514BF"/>
    <w:rsid w:val="00A73B49"/>
    <w:rsid w:val="00A91EB3"/>
    <w:rsid w:val="00AA3FD8"/>
    <w:rsid w:val="00AB38DB"/>
    <w:rsid w:val="00AD2054"/>
    <w:rsid w:val="00AD30BC"/>
    <w:rsid w:val="00AD60AD"/>
    <w:rsid w:val="00AE7FF5"/>
    <w:rsid w:val="00B0460D"/>
    <w:rsid w:val="00B049F5"/>
    <w:rsid w:val="00B17E79"/>
    <w:rsid w:val="00B92764"/>
    <w:rsid w:val="00BC25BA"/>
    <w:rsid w:val="00BC3DD6"/>
    <w:rsid w:val="00C23C05"/>
    <w:rsid w:val="00C74A1F"/>
    <w:rsid w:val="00CF112F"/>
    <w:rsid w:val="00CF170B"/>
    <w:rsid w:val="00D04BBC"/>
    <w:rsid w:val="00D821B9"/>
    <w:rsid w:val="00DA7D1A"/>
    <w:rsid w:val="00DC1E88"/>
    <w:rsid w:val="00DE5031"/>
    <w:rsid w:val="00DF7E99"/>
    <w:rsid w:val="00E00639"/>
    <w:rsid w:val="00E13C86"/>
    <w:rsid w:val="00E30036"/>
    <w:rsid w:val="00E86583"/>
    <w:rsid w:val="00E95720"/>
    <w:rsid w:val="00EA5CE3"/>
    <w:rsid w:val="00EB1F80"/>
    <w:rsid w:val="00F06802"/>
    <w:rsid w:val="00F11003"/>
    <w:rsid w:val="00F178D4"/>
    <w:rsid w:val="00F307D1"/>
    <w:rsid w:val="00F37CB5"/>
    <w:rsid w:val="00F5522F"/>
    <w:rsid w:val="00F626D6"/>
    <w:rsid w:val="00F77E1B"/>
    <w:rsid w:val="00F925C9"/>
    <w:rsid w:val="00FB1CFE"/>
    <w:rsid w:val="00FB29E4"/>
    <w:rsid w:val="00FC6604"/>
    <w:rsid w:val="00FD4BC3"/>
    <w:rsid w:val="00FD5064"/>
    <w:rsid w:val="00FD774B"/>
    <w:rsid w:val="00FF7C13"/>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555B42"/>
  <w15:docId w15:val="{EC6D29AF-39BE-46EE-A246-57BABA2E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themeColor="text1"/>
      <w:sz w:val="20"/>
      <w:szCs w:val="20"/>
      <w:lang w:eastAsia="ja-JP"/>
    </w:rPr>
  </w:style>
  <w:style w:type="paragraph" w:styleId="Heading1">
    <w:name w:val="heading 1"/>
    <w:basedOn w:val="Normal"/>
    <w:next w:val="Normal"/>
    <w:link w:val="Heading1Char"/>
    <w:uiPriority w:val="9"/>
    <w:qFormat/>
    <w:pPr>
      <w:pBdr>
        <w:top w:val="single" w:sz="6" w:space="1" w:color="9FB8CD" w:themeColor="accent2"/>
        <w:left w:val="single" w:sz="6" w:space="1" w:color="9FB8CD" w:themeColor="accent2"/>
        <w:bottom w:val="single" w:sz="6" w:space="1" w:color="9FB8CD" w:themeColor="accent2"/>
        <w:right w:val="single" w:sz="6" w:space="1" w:color="9FB8CD" w:themeColor="accent2"/>
      </w:pBdr>
      <w:shd w:val="clear" w:color="auto" w:fill="9FB8CD" w:themeFill="accent2"/>
      <w:spacing w:before="300" w:after="40"/>
      <w:outlineLvl w:val="0"/>
    </w:pPr>
    <w:rPr>
      <w:rFonts w:asciiTheme="majorHAnsi" w:hAnsiTheme="majorHAnsi"/>
      <w:color w:val="FFFFFF" w:themeColor="background1"/>
      <w:spacing w:val="5"/>
      <w:szCs w:val="32"/>
    </w:rPr>
  </w:style>
  <w:style w:type="paragraph" w:styleId="Heading2">
    <w:name w:val="heading 2"/>
    <w:basedOn w:val="Normal"/>
    <w:next w:val="Normal"/>
    <w:link w:val="Heading2Char"/>
    <w:uiPriority w:val="9"/>
    <w:qFormat/>
    <w:rsid w:val="00517E62"/>
    <w:pPr>
      <w:pBdr>
        <w:top w:val="single" w:sz="6" w:space="1" w:color="9FB8CD" w:themeColor="accent2"/>
        <w:left w:val="single" w:sz="48" w:space="1" w:color="9FB8CD" w:themeColor="accent2"/>
        <w:bottom w:val="single" w:sz="6" w:space="1" w:color="9FB8CD" w:themeColor="accent2"/>
        <w:right w:val="single" w:sz="6" w:space="1" w:color="9FB8CD" w:themeColor="accent2"/>
      </w:pBdr>
      <w:spacing w:before="240" w:after="80"/>
      <w:ind w:left="144"/>
      <w:outlineLvl w:val="1"/>
    </w:pPr>
    <w:rPr>
      <w:rFonts w:asciiTheme="majorHAnsi" w:hAnsiTheme="majorHAnsi"/>
      <w:color w:val="7030A0"/>
      <w:spacing w:val="5"/>
      <w:szCs w:val="28"/>
    </w:rPr>
  </w:style>
  <w:style w:type="paragraph" w:styleId="Heading3">
    <w:name w:val="heading 3"/>
    <w:basedOn w:val="Normal"/>
    <w:next w:val="Normal"/>
    <w:link w:val="Heading3Char"/>
    <w:uiPriority w:val="9"/>
    <w:unhideWhenUsed/>
    <w:qFormat/>
    <w:pPr>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ind w:left="144"/>
      <w:outlineLvl w:val="2"/>
    </w:pPr>
    <w:rPr>
      <w:rFonts w:asciiTheme="majorHAnsi" w:hAnsiTheme="majorHAnsi"/>
      <w:color w:val="595959" w:themeColor="text1" w:themeTint="A6"/>
      <w:spacing w:val="5"/>
      <w:szCs w:val="24"/>
    </w:rPr>
  </w:style>
  <w:style w:type="paragraph" w:styleId="Heading4">
    <w:name w:val="heading 4"/>
    <w:basedOn w:val="Normal"/>
    <w:next w:val="Normal"/>
    <w:link w:val="Heading4Char"/>
    <w:uiPriority w:val="9"/>
    <w:unhideWhenUsed/>
    <w:qFormat/>
    <w:pPr>
      <w:pBdr>
        <w:bottom w:val="single" w:sz="6" w:space="1" w:color="A6A6A6" w:themeColor="background1" w:themeShade="A6"/>
      </w:pBdr>
      <w:spacing w:before="200" w:after="80"/>
      <w:outlineLvl w:val="3"/>
    </w:pPr>
    <w:rPr>
      <w:rFonts w:asciiTheme="majorHAnsi" w:hAnsiTheme="majorHAnsi"/>
      <w:color w:val="595959" w:themeColor="text1" w:themeTint="A6"/>
      <w:szCs w:val="22"/>
    </w:rPr>
  </w:style>
  <w:style w:type="paragraph" w:styleId="Heading5">
    <w:name w:val="heading 5"/>
    <w:basedOn w:val="Normal"/>
    <w:next w:val="Normal"/>
    <w:link w:val="Heading5Char"/>
    <w:uiPriority w:val="9"/>
    <w:semiHidden/>
    <w:unhideWhenUsed/>
    <w:qFormat/>
    <w:pPr>
      <w:pBdr>
        <w:bottom w:val="dashed" w:sz="4" w:space="1" w:color="A6A6A6" w:themeColor="background1" w:themeShade="A6"/>
      </w:pBdr>
      <w:spacing w:before="200" w:after="80"/>
      <w:outlineLvl w:val="4"/>
    </w:pPr>
    <w:rPr>
      <w:rFonts w:asciiTheme="majorHAnsi" w:hAnsiTheme="majorHAnsi"/>
      <w:color w:val="404040" w:themeColor="text1" w:themeTint="BF"/>
      <w:szCs w:val="26"/>
    </w:rPr>
  </w:style>
  <w:style w:type="paragraph" w:styleId="Heading6">
    <w:name w:val="heading 6"/>
    <w:basedOn w:val="Normal"/>
    <w:next w:val="Normal"/>
    <w:link w:val="Heading6Char"/>
    <w:uiPriority w:val="9"/>
    <w:semiHidden/>
    <w:unhideWhenUsed/>
    <w:qFormat/>
    <w:pPr>
      <w:spacing w:before="200" w:after="80"/>
      <w:outlineLvl w:val="5"/>
    </w:pPr>
    <w:rPr>
      <w:rFonts w:asciiTheme="majorHAnsi" w:hAnsiTheme="majorHAnsi"/>
      <w:b/>
      <w:color w:val="7F7F7F" w:themeColor="background1" w:themeShade="7F"/>
      <w:sz w:val="18"/>
    </w:rPr>
  </w:style>
  <w:style w:type="paragraph" w:styleId="Heading7">
    <w:name w:val="heading 7"/>
    <w:basedOn w:val="Normal"/>
    <w:next w:val="Normal"/>
    <w:link w:val="Heading7Char"/>
    <w:uiPriority w:val="9"/>
    <w:semiHidden/>
    <w:unhideWhenUsed/>
    <w:qFormat/>
    <w:pPr>
      <w:spacing w:before="200" w:after="80"/>
      <w:outlineLvl w:val="6"/>
    </w:pPr>
    <w:rPr>
      <w:rFonts w:asciiTheme="majorHAnsi" w:hAnsiTheme="majorHAnsi"/>
      <w:b/>
      <w:i/>
      <w:color w:val="808080" w:themeColor="background1" w:themeShade="80"/>
      <w:sz w:val="18"/>
    </w:rPr>
  </w:style>
  <w:style w:type="paragraph" w:styleId="Heading8">
    <w:name w:val="heading 8"/>
    <w:basedOn w:val="Normal"/>
    <w:next w:val="Normal"/>
    <w:link w:val="Heading8Char"/>
    <w:uiPriority w:val="9"/>
    <w:semiHidden/>
    <w:unhideWhenUsed/>
    <w:qFormat/>
    <w:pPr>
      <w:spacing w:before="200" w:after="80"/>
      <w:outlineLvl w:val="7"/>
    </w:pPr>
    <w:rPr>
      <w:rFonts w:asciiTheme="majorHAnsi" w:hAnsiTheme="majorHAnsi"/>
      <w:color w:val="9FB8CD" w:themeColor="accent2"/>
      <w:sz w:val="18"/>
    </w:rPr>
  </w:style>
  <w:style w:type="paragraph" w:styleId="Heading9">
    <w:name w:val="heading 9"/>
    <w:basedOn w:val="Normal"/>
    <w:next w:val="Normal"/>
    <w:link w:val="Heading9Char"/>
    <w:uiPriority w:val="9"/>
    <w:semiHidden/>
    <w:unhideWhenUsed/>
    <w:qFormat/>
    <w:pPr>
      <w:spacing w:before="200" w:after="80"/>
      <w:outlineLvl w:val="8"/>
    </w:pPr>
    <w:rPr>
      <w:rFonts w:asciiTheme="majorHAnsi" w:hAnsiTheme="majorHAnsi"/>
      <w:i/>
      <w:color w:val="9FB8CD" w:themeColor="accent2"/>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olor w:val="FFFFFF" w:themeColor="background1"/>
      <w:spacing w:val="5"/>
      <w:sz w:val="20"/>
      <w:szCs w:val="32"/>
      <w:shd w:val="clear" w:color="auto" w:fill="9FB8CD" w:themeFill="accent2"/>
      <w:lang w:eastAsia="ja-JP"/>
    </w:rPr>
  </w:style>
  <w:style w:type="character" w:customStyle="1" w:styleId="Heading2Char">
    <w:name w:val="Heading 2 Char"/>
    <w:basedOn w:val="DefaultParagraphFont"/>
    <w:link w:val="Heading2"/>
    <w:uiPriority w:val="9"/>
    <w:rsid w:val="00517E62"/>
    <w:rPr>
      <w:rFonts w:asciiTheme="majorHAnsi" w:hAnsiTheme="majorHAnsi"/>
      <w:color w:val="7030A0"/>
      <w:spacing w:val="5"/>
      <w:sz w:val="20"/>
      <w:szCs w:val="28"/>
      <w:lang w:eastAsia="ja-JP"/>
    </w:rPr>
  </w:style>
  <w:style w:type="character" w:customStyle="1" w:styleId="Heading3Char">
    <w:name w:val="Heading 3 Char"/>
    <w:basedOn w:val="DefaultParagraphFont"/>
    <w:link w:val="Heading3"/>
    <w:uiPriority w:val="9"/>
    <w:rPr>
      <w:rFonts w:asciiTheme="majorHAnsi" w:hAnsiTheme="majorHAnsi"/>
      <w:color w:val="595959" w:themeColor="text1" w:themeTint="A6"/>
      <w:spacing w:val="5"/>
      <w:sz w:val="20"/>
      <w:szCs w:val="24"/>
      <w:lang w:eastAsia="ja-JP"/>
    </w:rPr>
  </w:style>
  <w:style w:type="paragraph" w:styleId="Title">
    <w:name w:val="Title"/>
    <w:basedOn w:val="Normal"/>
    <w:link w:val="TitleChar"/>
    <w:uiPriority w:val="10"/>
    <w:qFormat/>
    <w:pPr>
      <w:spacing w:line="240" w:lineRule="auto"/>
    </w:pPr>
    <w:rPr>
      <w:rFonts w:asciiTheme="majorHAnsi" w:hAnsiTheme="majorHAnsi"/>
      <w:color w:val="9FB8CD" w:themeColor="accent2"/>
      <w:sz w:val="52"/>
      <w:szCs w:val="48"/>
    </w:rPr>
  </w:style>
  <w:style w:type="character" w:customStyle="1" w:styleId="TitleChar">
    <w:name w:val="Title Char"/>
    <w:basedOn w:val="DefaultParagraphFont"/>
    <w:link w:val="Title"/>
    <w:uiPriority w:val="10"/>
    <w:rPr>
      <w:rFonts w:asciiTheme="majorHAnsi" w:hAnsiTheme="majorHAnsi"/>
      <w:color w:val="9FB8CD" w:themeColor="accent2"/>
      <w:sz w:val="52"/>
      <w:szCs w:val="48"/>
      <w:lang w:eastAsia="ja-JP"/>
    </w:rPr>
  </w:style>
  <w:style w:type="paragraph" w:styleId="Subtitle">
    <w:name w:val="Subtitle"/>
    <w:basedOn w:val="Normal"/>
    <w:link w:val="SubtitleChar"/>
    <w:uiPriority w:val="11"/>
    <w:qFormat/>
    <w:pPr>
      <w:spacing w:after="720" w:line="240" w:lineRule="auto"/>
    </w:pPr>
    <w:rPr>
      <w:rFonts w:asciiTheme="majorHAnsi" w:hAnsiTheme="majorHAnsi" w:cstheme="minorHAnsi"/>
      <w:color w:val="9FB8CD" w:themeColor="accent2"/>
      <w:sz w:val="24"/>
      <w:szCs w:val="24"/>
    </w:rPr>
  </w:style>
  <w:style w:type="character" w:customStyle="1" w:styleId="SubtitleChar">
    <w:name w:val="Subtitle Char"/>
    <w:basedOn w:val="DefaultParagraphFont"/>
    <w:link w:val="Subtitle"/>
    <w:uiPriority w:val="11"/>
    <w:rPr>
      <w:rFonts w:asciiTheme="majorHAnsi" w:hAnsiTheme="majorHAnsi" w:cstheme="minorHAnsi"/>
      <w:color w:val="9FB8CD" w:themeColor="accent2"/>
      <w:sz w:val="24"/>
      <w:szCs w:val="24"/>
      <w:lang w:eastAsia="ja-JP"/>
    </w:rPr>
  </w:style>
  <w:style w:type="paragraph" w:styleId="Caption">
    <w:name w:val="caption"/>
    <w:basedOn w:val="Normal"/>
    <w:next w:val="Normal"/>
    <w:uiPriority w:val="35"/>
    <w:unhideWhenUsed/>
    <w:pPr>
      <w:spacing w:after="0" w:line="240" w:lineRule="auto"/>
    </w:pPr>
    <w:rPr>
      <w:bCs/>
      <w:color w:val="9FB8CD" w:themeColor="accent2"/>
      <w:sz w:val="16"/>
      <w:szCs w:val="18"/>
    </w:rPr>
  </w:style>
  <w:style w:type="paragraph" w:styleId="NoSpacing">
    <w:name w:val="No Spacing"/>
    <w:basedOn w:val="Normal"/>
    <w:uiPriority w:val="99"/>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000000" w:themeColor="text1"/>
      <w:sz w:val="16"/>
      <w:szCs w:val="16"/>
      <w:lang w:eastAsia="ja-JP"/>
    </w:rPr>
  </w:style>
  <w:style w:type="character" w:styleId="BookTitle">
    <w:name w:val="Book Title"/>
    <w:basedOn w:val="DefaultParagraphFont"/>
    <w:uiPriority w:val="33"/>
    <w:qFormat/>
    <w:rPr>
      <w:rFonts w:asciiTheme="majorHAnsi" w:hAnsiTheme="majorHAnsi" w:cs="Times New Roman"/>
      <w:i/>
      <w:color w:val="8E736A" w:themeColor="accent6"/>
      <w:sz w:val="20"/>
      <w:szCs w:val="20"/>
    </w:rPr>
  </w:style>
  <w:style w:type="character" w:styleId="Emphasis">
    <w:name w:val="Emphasis"/>
    <w:uiPriority w:val="20"/>
    <w:qFormat/>
    <w:rPr>
      <w:b/>
      <w:i/>
      <w:spacing w:val="0"/>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color w:val="000000" w:themeColor="text1"/>
      <w:sz w:val="20"/>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color w:val="000000" w:themeColor="text1"/>
      <w:sz w:val="20"/>
      <w:szCs w:val="20"/>
      <w:lang w:eastAsia="ja-JP"/>
    </w:rPr>
  </w:style>
  <w:style w:type="character" w:customStyle="1" w:styleId="Heading4Char">
    <w:name w:val="Heading 4 Char"/>
    <w:basedOn w:val="DefaultParagraphFont"/>
    <w:link w:val="Heading4"/>
    <w:uiPriority w:val="9"/>
    <w:rPr>
      <w:rFonts w:asciiTheme="majorHAnsi" w:hAnsiTheme="majorHAnsi"/>
      <w:color w:val="595959" w:themeColor="text1" w:themeTint="A6"/>
      <w:sz w:val="20"/>
      <w:lang w:eastAsia="ja-JP"/>
    </w:rPr>
  </w:style>
  <w:style w:type="character" w:customStyle="1" w:styleId="Heading5Char">
    <w:name w:val="Heading 5 Char"/>
    <w:basedOn w:val="DefaultParagraphFont"/>
    <w:link w:val="Heading5"/>
    <w:uiPriority w:val="9"/>
    <w:semiHidden/>
    <w:rPr>
      <w:rFonts w:asciiTheme="majorHAnsi" w:hAnsiTheme="majorHAnsi"/>
      <w:color w:val="404040" w:themeColor="text1" w:themeTint="BF"/>
      <w:sz w:val="20"/>
      <w:szCs w:val="26"/>
      <w:lang w:eastAsia="ja-JP"/>
    </w:rPr>
  </w:style>
  <w:style w:type="character" w:customStyle="1" w:styleId="Heading6Char">
    <w:name w:val="Heading 6 Char"/>
    <w:basedOn w:val="DefaultParagraphFont"/>
    <w:link w:val="Heading6"/>
    <w:uiPriority w:val="9"/>
    <w:semiHidden/>
    <w:rPr>
      <w:rFonts w:asciiTheme="majorHAnsi" w:hAnsiTheme="majorHAnsi"/>
      <w:b/>
      <w:color w:val="7F7F7F" w:themeColor="background1" w:themeShade="7F"/>
      <w:sz w:val="18"/>
      <w:szCs w:val="20"/>
      <w:lang w:eastAsia="ja-JP"/>
    </w:rPr>
  </w:style>
  <w:style w:type="character" w:customStyle="1" w:styleId="Heading7Char">
    <w:name w:val="Heading 7 Char"/>
    <w:basedOn w:val="DefaultParagraphFont"/>
    <w:link w:val="Heading7"/>
    <w:uiPriority w:val="9"/>
    <w:semiHidden/>
    <w:rPr>
      <w:rFonts w:asciiTheme="majorHAnsi" w:hAnsiTheme="majorHAnsi"/>
      <w:b/>
      <w:i/>
      <w:color w:val="808080" w:themeColor="background1" w:themeShade="80"/>
      <w:sz w:val="18"/>
      <w:szCs w:val="20"/>
      <w:lang w:eastAsia="ja-JP"/>
    </w:rPr>
  </w:style>
  <w:style w:type="character" w:customStyle="1" w:styleId="Heading8Char">
    <w:name w:val="Heading 8 Char"/>
    <w:basedOn w:val="DefaultParagraphFont"/>
    <w:link w:val="Heading8"/>
    <w:uiPriority w:val="9"/>
    <w:semiHidden/>
    <w:rPr>
      <w:rFonts w:asciiTheme="majorHAnsi" w:hAnsiTheme="majorHAnsi"/>
      <w:color w:val="9FB8CD" w:themeColor="accent2"/>
      <w:sz w:val="18"/>
      <w:szCs w:val="20"/>
      <w:lang w:eastAsia="ja-JP"/>
    </w:rPr>
  </w:style>
  <w:style w:type="character" w:customStyle="1" w:styleId="Heading9Char">
    <w:name w:val="Heading 9 Char"/>
    <w:basedOn w:val="DefaultParagraphFont"/>
    <w:link w:val="Heading9"/>
    <w:uiPriority w:val="9"/>
    <w:semiHidden/>
    <w:rPr>
      <w:rFonts w:asciiTheme="majorHAnsi" w:hAnsiTheme="majorHAnsi"/>
      <w:i/>
      <w:color w:val="9FB8CD" w:themeColor="accent2"/>
      <w:sz w:val="18"/>
      <w:szCs w:val="20"/>
      <w:lang w:eastAsia="ja-JP"/>
    </w:rPr>
  </w:style>
  <w:style w:type="character" w:styleId="IntenseEmphasis">
    <w:name w:val="Intense Emphasis"/>
    <w:basedOn w:val="DefaultParagraphFont"/>
    <w:uiPriority w:val="21"/>
    <w:qFormat/>
    <w:rPr>
      <w:rFonts w:cs="Times New Roman"/>
      <w:b/>
      <w:i/>
      <w:color w:val="BAC737" w:themeColor="accent3" w:themeShade="BF"/>
      <w:sz w:val="20"/>
      <w:szCs w:val="20"/>
    </w:rPr>
  </w:style>
  <w:style w:type="paragraph" w:styleId="IntenseQuote">
    <w:name w:val="Intense Quote"/>
    <w:basedOn w:val="Normal"/>
    <w:link w:val="IntenseQuoteChar"/>
    <w:uiPriority w:val="30"/>
    <w:qFormat/>
    <w:pPr>
      <w:pBdr>
        <w:top w:val="single" w:sz="6" w:space="10" w:color="628BAD" w:themeColor="accent2" w:themeShade="BF"/>
        <w:left w:val="single" w:sz="6" w:space="10" w:color="628BAD" w:themeColor="accent2" w:themeShade="BF"/>
        <w:bottom w:val="single" w:sz="6" w:space="10" w:color="628BAD" w:themeColor="accent2" w:themeShade="BF"/>
        <w:right w:val="single" w:sz="6" w:space="10" w:color="628BAD" w:themeColor="accent2" w:themeShade="BF"/>
      </w:pBdr>
      <w:shd w:val="clear" w:color="auto" w:fill="9FB8CD" w:themeFill="accent2"/>
      <w:ind w:left="720" w:right="720"/>
      <w:jc w:val="center"/>
    </w:pPr>
    <w:rPr>
      <w:rFonts w:asciiTheme="majorHAnsi" w:hAnsiTheme="majorHAnsi"/>
      <w:i/>
      <w:color w:val="FFFFFF" w:themeColor="background1"/>
    </w:rPr>
  </w:style>
  <w:style w:type="character" w:customStyle="1" w:styleId="IntenseQuoteChar">
    <w:name w:val="Intense Quote Char"/>
    <w:basedOn w:val="DefaultParagraphFont"/>
    <w:link w:val="IntenseQuote"/>
    <w:uiPriority w:val="30"/>
    <w:rPr>
      <w:rFonts w:asciiTheme="majorHAnsi" w:hAnsiTheme="majorHAnsi"/>
      <w:i/>
      <w:color w:val="FFFFFF" w:themeColor="background1"/>
      <w:sz w:val="20"/>
      <w:szCs w:val="20"/>
      <w:shd w:val="clear" w:color="auto" w:fill="9FB8CD" w:themeFill="accent2"/>
      <w:lang w:eastAsia="ja-JP"/>
    </w:rPr>
  </w:style>
  <w:style w:type="character" w:styleId="IntenseReference">
    <w:name w:val="Intense Reference"/>
    <w:basedOn w:val="DefaultParagraphFont"/>
    <w:uiPriority w:val="32"/>
    <w:qFormat/>
    <w:rPr>
      <w:rFonts w:cs="Times New Roman"/>
      <w:b/>
      <w:color w:val="525A7D" w:themeColor="accent1" w:themeShade="BF"/>
      <w:sz w:val="20"/>
      <w:szCs w:val="20"/>
      <w:u w:val="single"/>
    </w:rPr>
  </w:style>
  <w:style w:type="paragraph" w:styleId="ListBullet">
    <w:name w:val="List Bullet"/>
    <w:basedOn w:val="Normal"/>
    <w:uiPriority w:val="36"/>
    <w:unhideWhenUsed/>
    <w:qFormat/>
    <w:pPr>
      <w:numPr>
        <w:numId w:val="16"/>
      </w:numPr>
      <w:spacing w:after="120"/>
      <w:contextualSpacing/>
    </w:pPr>
  </w:style>
  <w:style w:type="paragraph" w:styleId="ListBullet2">
    <w:name w:val="List Bullet 2"/>
    <w:basedOn w:val="Normal"/>
    <w:uiPriority w:val="36"/>
    <w:unhideWhenUsed/>
    <w:qFormat/>
    <w:pPr>
      <w:numPr>
        <w:numId w:val="17"/>
      </w:numPr>
      <w:spacing w:after="120"/>
      <w:contextualSpacing/>
    </w:pPr>
  </w:style>
  <w:style w:type="paragraph" w:styleId="ListBullet3">
    <w:name w:val="List Bullet 3"/>
    <w:basedOn w:val="Normal"/>
    <w:uiPriority w:val="36"/>
    <w:unhideWhenUsed/>
    <w:qFormat/>
    <w:pPr>
      <w:numPr>
        <w:numId w:val="18"/>
      </w:numPr>
      <w:spacing w:after="120"/>
      <w:contextualSpacing/>
    </w:pPr>
  </w:style>
  <w:style w:type="paragraph" w:styleId="ListBullet4">
    <w:name w:val="List Bullet 4"/>
    <w:basedOn w:val="Normal"/>
    <w:uiPriority w:val="36"/>
    <w:unhideWhenUsed/>
    <w:qFormat/>
    <w:pPr>
      <w:numPr>
        <w:numId w:val="19"/>
      </w:numPr>
      <w:spacing w:after="120"/>
      <w:contextualSpacing/>
    </w:pPr>
  </w:style>
  <w:style w:type="paragraph" w:styleId="ListBullet5">
    <w:name w:val="List Bullet 5"/>
    <w:basedOn w:val="Normal"/>
    <w:uiPriority w:val="36"/>
    <w:unhideWhenUsed/>
    <w:qFormat/>
    <w:pPr>
      <w:numPr>
        <w:numId w:val="20"/>
      </w:numPr>
      <w:spacing w:after="120"/>
      <w:contextualSpacing/>
    </w:pPr>
  </w:style>
  <w:style w:type="character" w:styleId="PlaceholderText">
    <w:name w:val="Placeholder Text"/>
    <w:basedOn w:val="DefaultParagraphFont"/>
    <w:uiPriority w:val="99"/>
    <w:semiHidden/>
    <w:rPr>
      <w:color w:val="808080"/>
    </w:rPr>
  </w:style>
  <w:style w:type="paragraph" w:styleId="Quote">
    <w:name w:val="Quote"/>
    <w:basedOn w:val="Normal"/>
    <w:link w:val="QuoteChar"/>
    <w:uiPriority w:val="29"/>
    <w:qFormat/>
    <w:rPr>
      <w:i/>
      <w:color w:val="7F7F7F" w:themeColor="background1" w:themeShade="7F"/>
    </w:rPr>
  </w:style>
  <w:style w:type="character" w:customStyle="1" w:styleId="QuoteChar">
    <w:name w:val="Quote Char"/>
    <w:basedOn w:val="DefaultParagraphFont"/>
    <w:link w:val="Quote"/>
    <w:uiPriority w:val="29"/>
    <w:rPr>
      <w:i/>
      <w:color w:val="7F7F7F" w:themeColor="background1" w:themeShade="7F"/>
      <w:sz w:val="20"/>
      <w:szCs w:val="20"/>
      <w:lang w:eastAsia="ja-JP"/>
    </w:rPr>
  </w:style>
  <w:style w:type="character" w:styleId="Strong">
    <w:name w:val="Strong"/>
    <w:uiPriority w:val="22"/>
    <w:qFormat/>
    <w:rPr>
      <w:rFonts w:asciiTheme="minorHAnsi" w:hAnsiTheme="minorHAnsi"/>
      <w:b/>
      <w:color w:val="9FB8CD" w:themeColor="accent2"/>
    </w:rPr>
  </w:style>
  <w:style w:type="character" w:styleId="SubtleEmphasis">
    <w:name w:val="Subtle Emphasis"/>
    <w:basedOn w:val="DefaultParagraphFont"/>
    <w:uiPriority w:val="19"/>
    <w:qFormat/>
    <w:rPr>
      <w:rFonts w:cs="Times New Roman"/>
      <w:i/>
      <w:color w:val="737373" w:themeColor="text1" w:themeTint="8C"/>
      <w:kern w:val="16"/>
      <w:sz w:val="20"/>
      <w:szCs w:val="24"/>
    </w:rPr>
  </w:style>
  <w:style w:type="character" w:styleId="SubtleReference">
    <w:name w:val="Subtle Reference"/>
    <w:basedOn w:val="DefaultParagraphFont"/>
    <w:uiPriority w:val="31"/>
    <w:qFormat/>
    <w:rPr>
      <w:rFonts w:cs="Times New Roman"/>
      <w:color w:val="737373" w:themeColor="text1" w:themeTint="8C"/>
      <w:sz w:val="20"/>
      <w:szCs w:val="20"/>
      <w:u w:val="single"/>
    </w:rPr>
  </w:style>
  <w:style w:type="table" w:styleId="TableGrid">
    <w:name w:val="Table Grid"/>
    <w:basedOn w:val="TableNormal"/>
    <w:uiPriority w:val="1"/>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99"/>
    <w:semiHidden/>
    <w:unhideWhenUsed/>
    <w:qFormat/>
    <w:pPr>
      <w:tabs>
        <w:tab w:val="right" w:leader="dot" w:pos="8630"/>
      </w:tabs>
      <w:spacing w:after="40" w:line="240" w:lineRule="auto"/>
    </w:pPr>
    <w:rPr>
      <w:smallCaps/>
      <w:noProof/>
      <w:color w:val="9FB8CD" w:themeColor="accent2"/>
    </w:rPr>
  </w:style>
  <w:style w:type="paragraph" w:styleId="TOC2">
    <w:name w:val="toc 2"/>
    <w:basedOn w:val="Normal"/>
    <w:next w:val="Normal"/>
    <w:autoRedefine/>
    <w:uiPriority w:val="99"/>
    <w:semiHidden/>
    <w:unhideWhenUsed/>
    <w:qFormat/>
    <w:pPr>
      <w:tabs>
        <w:tab w:val="right" w:leader="dot" w:pos="8630"/>
      </w:tabs>
      <w:spacing w:after="40" w:line="240" w:lineRule="auto"/>
      <w:ind w:left="216"/>
    </w:pPr>
    <w:rPr>
      <w:smallCaps/>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446"/>
    </w:pPr>
    <w:rPr>
      <w:smallCaps/>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662"/>
    </w:pPr>
    <w:rPr>
      <w:smallCaps/>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878"/>
    </w:pPr>
    <w:rPr>
      <w:smallCaps/>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1094"/>
    </w:pPr>
    <w:rPr>
      <w:smallCaps/>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1325"/>
    </w:pPr>
    <w:rPr>
      <w:smallCaps/>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540"/>
    </w:pPr>
    <w:rPr>
      <w:smallCaps/>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760"/>
    </w:pPr>
    <w:rPr>
      <w:smallCaps/>
      <w:noProof/>
    </w:rPr>
  </w:style>
  <w:style w:type="paragraph" w:customStyle="1" w:styleId="FooterLeft">
    <w:name w:val="Footer Left"/>
    <w:basedOn w:val="Normal"/>
    <w:next w:val="Normal"/>
    <w:uiPriority w:val="35"/>
    <w:qFormat/>
    <w:pPr>
      <w:pBdr>
        <w:top w:val="dashed" w:sz="4" w:space="18" w:color="7F7F7F" w:themeColor="text1" w:themeTint="80"/>
      </w:pBdr>
      <w:tabs>
        <w:tab w:val="center" w:pos="4320"/>
        <w:tab w:val="right" w:pos="8640"/>
      </w:tabs>
      <w:spacing w:line="240" w:lineRule="auto"/>
      <w:contextualSpacing/>
    </w:pPr>
    <w:rPr>
      <w:color w:val="7F7F7F" w:themeColor="text1" w:themeTint="80"/>
      <w:szCs w:val="18"/>
    </w:rPr>
  </w:style>
  <w:style w:type="paragraph" w:customStyle="1" w:styleId="FooterRight">
    <w:name w:val="Footer Right"/>
    <w:basedOn w:val="Footer"/>
    <w:uiPriority w:val="35"/>
    <w:qFormat/>
    <w:pPr>
      <w:pBdr>
        <w:top w:val="dashed" w:sz="4" w:space="18" w:color="7F7F7F"/>
      </w:pBdr>
      <w:spacing w:line="240" w:lineRule="auto"/>
      <w:contextualSpacing/>
      <w:jc w:val="right"/>
    </w:pPr>
    <w:rPr>
      <w:color w:val="7F7F7F" w:themeColor="text1" w:themeTint="80"/>
      <w:szCs w:val="18"/>
    </w:rPr>
  </w:style>
  <w:style w:type="paragraph" w:customStyle="1" w:styleId="HeaderFirstPage">
    <w:name w:val="Header First Page"/>
    <w:basedOn w:val="Normal"/>
    <w:next w:val="Normal"/>
    <w:uiPriority w:val="39"/>
    <w:pPr>
      <w:pBdr>
        <w:bottom w:val="dashed" w:sz="4" w:space="18" w:color="7F7F7F" w:themeColor="text1" w:themeTint="80"/>
      </w:pBdr>
      <w:tabs>
        <w:tab w:val="center" w:pos="4320"/>
        <w:tab w:val="right" w:pos="8640"/>
      </w:tabs>
      <w:spacing w:line="396" w:lineRule="auto"/>
    </w:pPr>
  </w:style>
  <w:style w:type="paragraph" w:customStyle="1" w:styleId="HeaderLeft">
    <w:name w:val="Header Left"/>
    <w:basedOn w:val="Header"/>
    <w:uiPriority w:val="35"/>
    <w:qFormat/>
    <w:pPr>
      <w:pBdr>
        <w:bottom w:val="dashed" w:sz="4" w:space="18" w:color="7F7F7F" w:themeColor="text1" w:themeTint="80"/>
      </w:pBdr>
      <w:spacing w:line="396" w:lineRule="auto"/>
    </w:pPr>
    <w:rPr>
      <w:color w:val="7F7F7F" w:themeColor="text1" w:themeTint="80"/>
    </w:rPr>
  </w:style>
  <w:style w:type="paragraph" w:customStyle="1" w:styleId="HeaderRight">
    <w:name w:val="Header Right"/>
    <w:basedOn w:val="Header"/>
    <w:uiPriority w:val="35"/>
    <w:qFormat/>
    <w:pPr>
      <w:pBdr>
        <w:bottom w:val="dashed" w:sz="4" w:space="18" w:color="7F7F7F"/>
      </w:pBdr>
      <w:jc w:val="right"/>
    </w:pPr>
    <w:rPr>
      <w:color w:val="7F7F7F" w:themeColor="text1" w:themeTint="80"/>
    </w:rPr>
  </w:style>
  <w:style w:type="paragraph" w:styleId="NormalWeb">
    <w:name w:val="Normal (Web)"/>
    <w:basedOn w:val="Normal"/>
    <w:uiPriority w:val="99"/>
    <w:semiHidden/>
    <w:unhideWhenUsed/>
    <w:rsid w:val="00654630"/>
    <w:rPr>
      <w:rFonts w:ascii="Times New Roman" w:hAnsi="Times New Roman" w:cs="Times New Roman"/>
      <w:sz w:val="24"/>
      <w:szCs w:val="24"/>
    </w:rPr>
  </w:style>
  <w:style w:type="paragraph" w:styleId="ListParagraph">
    <w:name w:val="List Paragraph"/>
    <w:basedOn w:val="Normal"/>
    <w:uiPriority w:val="34"/>
    <w:qFormat/>
    <w:rsid w:val="00AB38DB"/>
    <w:pPr>
      <w:ind w:left="720"/>
      <w:contextualSpacing/>
    </w:pPr>
  </w:style>
  <w:style w:type="character" w:styleId="CommentReference">
    <w:name w:val="annotation reference"/>
    <w:basedOn w:val="DefaultParagraphFont"/>
    <w:uiPriority w:val="99"/>
    <w:semiHidden/>
    <w:unhideWhenUsed/>
    <w:rsid w:val="00922B46"/>
    <w:rPr>
      <w:sz w:val="16"/>
      <w:szCs w:val="16"/>
    </w:rPr>
  </w:style>
  <w:style w:type="paragraph" w:styleId="CommentText">
    <w:name w:val="annotation text"/>
    <w:basedOn w:val="Normal"/>
    <w:link w:val="CommentTextChar"/>
    <w:uiPriority w:val="99"/>
    <w:unhideWhenUsed/>
    <w:rsid w:val="00922B46"/>
    <w:pPr>
      <w:spacing w:after="160" w:line="240" w:lineRule="auto"/>
    </w:pPr>
    <w:rPr>
      <w:color w:val="auto"/>
      <w:kern w:val="2"/>
      <w:lang w:val="en-GB" w:eastAsia="en-US"/>
      <w14:ligatures w14:val="standardContextual"/>
    </w:rPr>
  </w:style>
  <w:style w:type="character" w:customStyle="1" w:styleId="CommentTextChar">
    <w:name w:val="Comment Text Char"/>
    <w:basedOn w:val="DefaultParagraphFont"/>
    <w:link w:val="CommentText"/>
    <w:uiPriority w:val="99"/>
    <w:rsid w:val="00922B46"/>
    <w:rPr>
      <w:kern w:val="2"/>
      <w:sz w:val="20"/>
      <w:szCs w:val="20"/>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8012">
      <w:bodyDiv w:val="1"/>
      <w:marLeft w:val="0"/>
      <w:marRight w:val="0"/>
      <w:marTop w:val="0"/>
      <w:marBottom w:val="0"/>
      <w:divBdr>
        <w:top w:val="none" w:sz="0" w:space="0" w:color="auto"/>
        <w:left w:val="none" w:sz="0" w:space="0" w:color="auto"/>
        <w:bottom w:val="none" w:sz="0" w:space="0" w:color="auto"/>
        <w:right w:val="none" w:sz="0" w:space="0" w:color="auto"/>
      </w:divBdr>
    </w:div>
    <w:div w:id="41487269">
      <w:bodyDiv w:val="1"/>
      <w:marLeft w:val="0"/>
      <w:marRight w:val="0"/>
      <w:marTop w:val="0"/>
      <w:marBottom w:val="0"/>
      <w:divBdr>
        <w:top w:val="none" w:sz="0" w:space="0" w:color="auto"/>
        <w:left w:val="none" w:sz="0" w:space="0" w:color="auto"/>
        <w:bottom w:val="none" w:sz="0" w:space="0" w:color="auto"/>
        <w:right w:val="none" w:sz="0" w:space="0" w:color="auto"/>
      </w:divBdr>
    </w:div>
    <w:div w:id="105271576">
      <w:bodyDiv w:val="1"/>
      <w:marLeft w:val="0"/>
      <w:marRight w:val="0"/>
      <w:marTop w:val="0"/>
      <w:marBottom w:val="0"/>
      <w:divBdr>
        <w:top w:val="none" w:sz="0" w:space="0" w:color="auto"/>
        <w:left w:val="none" w:sz="0" w:space="0" w:color="auto"/>
        <w:bottom w:val="none" w:sz="0" w:space="0" w:color="auto"/>
        <w:right w:val="none" w:sz="0" w:space="0" w:color="auto"/>
      </w:divBdr>
    </w:div>
    <w:div w:id="413477929">
      <w:bodyDiv w:val="1"/>
      <w:marLeft w:val="0"/>
      <w:marRight w:val="0"/>
      <w:marTop w:val="0"/>
      <w:marBottom w:val="0"/>
      <w:divBdr>
        <w:top w:val="none" w:sz="0" w:space="0" w:color="auto"/>
        <w:left w:val="none" w:sz="0" w:space="0" w:color="auto"/>
        <w:bottom w:val="none" w:sz="0" w:space="0" w:color="auto"/>
        <w:right w:val="none" w:sz="0" w:space="0" w:color="auto"/>
      </w:divBdr>
    </w:div>
    <w:div w:id="802580277">
      <w:bodyDiv w:val="1"/>
      <w:marLeft w:val="0"/>
      <w:marRight w:val="0"/>
      <w:marTop w:val="0"/>
      <w:marBottom w:val="0"/>
      <w:divBdr>
        <w:top w:val="none" w:sz="0" w:space="0" w:color="auto"/>
        <w:left w:val="none" w:sz="0" w:space="0" w:color="auto"/>
        <w:bottom w:val="none" w:sz="0" w:space="0" w:color="auto"/>
        <w:right w:val="none" w:sz="0" w:space="0" w:color="auto"/>
      </w:divBdr>
    </w:div>
    <w:div w:id="1081369228">
      <w:bodyDiv w:val="1"/>
      <w:marLeft w:val="0"/>
      <w:marRight w:val="0"/>
      <w:marTop w:val="0"/>
      <w:marBottom w:val="0"/>
      <w:divBdr>
        <w:top w:val="none" w:sz="0" w:space="0" w:color="auto"/>
        <w:left w:val="none" w:sz="0" w:space="0" w:color="auto"/>
        <w:bottom w:val="none" w:sz="0" w:space="0" w:color="auto"/>
        <w:right w:val="none" w:sz="0" w:space="0" w:color="auto"/>
      </w:divBdr>
    </w:div>
    <w:div w:id="1277129857">
      <w:bodyDiv w:val="1"/>
      <w:marLeft w:val="0"/>
      <w:marRight w:val="0"/>
      <w:marTop w:val="0"/>
      <w:marBottom w:val="0"/>
      <w:divBdr>
        <w:top w:val="none" w:sz="0" w:space="0" w:color="auto"/>
        <w:left w:val="none" w:sz="0" w:space="0" w:color="auto"/>
        <w:bottom w:val="none" w:sz="0" w:space="0" w:color="auto"/>
        <w:right w:val="none" w:sz="0" w:space="0" w:color="auto"/>
      </w:divBdr>
    </w:div>
    <w:div w:id="1393458916">
      <w:bodyDiv w:val="1"/>
      <w:marLeft w:val="0"/>
      <w:marRight w:val="0"/>
      <w:marTop w:val="0"/>
      <w:marBottom w:val="0"/>
      <w:divBdr>
        <w:top w:val="none" w:sz="0" w:space="0" w:color="auto"/>
        <w:left w:val="none" w:sz="0" w:space="0" w:color="auto"/>
        <w:bottom w:val="none" w:sz="0" w:space="0" w:color="auto"/>
        <w:right w:val="none" w:sz="0" w:space="0" w:color="auto"/>
      </w:divBdr>
    </w:div>
    <w:div w:id="1700084840">
      <w:bodyDiv w:val="1"/>
      <w:marLeft w:val="0"/>
      <w:marRight w:val="0"/>
      <w:marTop w:val="0"/>
      <w:marBottom w:val="0"/>
      <w:divBdr>
        <w:top w:val="none" w:sz="0" w:space="0" w:color="auto"/>
        <w:left w:val="none" w:sz="0" w:space="0" w:color="auto"/>
        <w:bottom w:val="none" w:sz="0" w:space="0" w:color="auto"/>
        <w:right w:val="none" w:sz="0" w:space="0" w:color="auto"/>
      </w:divBdr>
    </w:div>
    <w:div w:id="1880165283">
      <w:bodyDiv w:val="1"/>
      <w:marLeft w:val="0"/>
      <w:marRight w:val="0"/>
      <w:marTop w:val="0"/>
      <w:marBottom w:val="0"/>
      <w:divBdr>
        <w:top w:val="none" w:sz="0" w:space="0" w:color="auto"/>
        <w:left w:val="none" w:sz="0" w:space="0" w:color="auto"/>
        <w:bottom w:val="none" w:sz="0" w:space="0" w:color="auto"/>
        <w:right w:val="none" w:sz="0" w:space="0" w:color="auto"/>
      </w:divBdr>
    </w:div>
    <w:div w:id="1915427714">
      <w:bodyDiv w:val="1"/>
      <w:marLeft w:val="0"/>
      <w:marRight w:val="0"/>
      <w:marTop w:val="0"/>
      <w:marBottom w:val="0"/>
      <w:divBdr>
        <w:top w:val="none" w:sz="0" w:space="0" w:color="auto"/>
        <w:left w:val="none" w:sz="0" w:space="0" w:color="auto"/>
        <w:bottom w:val="none" w:sz="0" w:space="0" w:color="auto"/>
        <w:right w:val="none" w:sz="0" w:space="0" w:color="auto"/>
      </w:divBdr>
    </w:div>
    <w:div w:id="1937324605">
      <w:bodyDiv w:val="1"/>
      <w:marLeft w:val="0"/>
      <w:marRight w:val="0"/>
      <w:marTop w:val="0"/>
      <w:marBottom w:val="0"/>
      <w:divBdr>
        <w:top w:val="none" w:sz="0" w:space="0" w:color="auto"/>
        <w:left w:val="none" w:sz="0" w:space="0" w:color="auto"/>
        <w:bottom w:val="none" w:sz="0" w:space="0" w:color="auto"/>
        <w:right w:val="none" w:sz="0" w:space="0" w:color="auto"/>
      </w:divBdr>
    </w:div>
    <w:div w:id="204913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2057\Origin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714F5486BB4262903E723F410AD5F2"/>
        <w:category>
          <w:name w:val="General"/>
          <w:gallery w:val="placeholder"/>
        </w:category>
        <w:types>
          <w:type w:val="bbPlcHdr"/>
        </w:types>
        <w:behaviors>
          <w:behavior w:val="content"/>
        </w:behaviors>
        <w:guid w:val="{D9ACE720-2BEA-47CA-8FBA-CE2560F28F20}"/>
      </w:docPartPr>
      <w:docPartBody>
        <w:p w:rsidR="00B05EFD" w:rsidRDefault="00B05EFD">
          <w:pPr>
            <w:pStyle w:val="0E714F5486BB4262903E723F410AD5F2"/>
          </w:pPr>
          <w:r>
            <w:rPr>
              <w:color w:val="4472C4" w:themeColor="accent1"/>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MinchoE">
    <w:charset w:val="80"/>
    <w:family w:val="modern"/>
    <w:pitch w:val="fixed"/>
    <w:sig w:usb0="E00002FF" w:usb1="2AC7EDFE" w:usb2="00000012" w:usb3="00000000" w:csb0="00020001"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EFD"/>
    <w:rsid w:val="005D4786"/>
    <w:rsid w:val="00A3679C"/>
    <w:rsid w:val="00AE50B2"/>
    <w:rsid w:val="00B05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pBdr>
        <w:top w:val="single" w:sz="6" w:space="1" w:color="ED7D31" w:themeColor="accent2"/>
        <w:left w:val="single" w:sz="6" w:space="1" w:color="ED7D31" w:themeColor="accent2"/>
        <w:bottom w:val="single" w:sz="6" w:space="1" w:color="ED7D31" w:themeColor="accent2"/>
        <w:right w:val="single" w:sz="6" w:space="1" w:color="ED7D31" w:themeColor="accent2"/>
      </w:pBdr>
      <w:shd w:val="clear" w:color="auto" w:fill="ED7D31" w:themeFill="accent2"/>
      <w:spacing w:before="300" w:after="40" w:line="276" w:lineRule="auto"/>
      <w:outlineLvl w:val="0"/>
    </w:pPr>
    <w:rPr>
      <w:rFonts w:asciiTheme="majorHAnsi" w:eastAsiaTheme="minorHAnsi" w:hAnsiTheme="majorHAnsi" w:cs="Times New Roman"/>
      <w:color w:val="FFFFFF" w:themeColor="background1"/>
      <w:spacing w:val="5"/>
      <w:kern w:val="0"/>
      <w:sz w:val="20"/>
      <w:szCs w:val="32"/>
      <w:lang w:val="en-US" w:eastAsia="ja-JP"/>
      <w14:ligatures w14:val="none"/>
    </w:rPr>
  </w:style>
  <w:style w:type="paragraph" w:styleId="Heading2">
    <w:name w:val="heading 2"/>
    <w:basedOn w:val="Normal"/>
    <w:next w:val="Normal"/>
    <w:link w:val="Heading2Char"/>
    <w:uiPriority w:val="9"/>
    <w:qFormat/>
    <w:pPr>
      <w:pBdr>
        <w:top w:val="single" w:sz="6" w:space="1" w:color="ED7D31" w:themeColor="accent2"/>
        <w:left w:val="single" w:sz="48" w:space="1" w:color="ED7D31" w:themeColor="accent2"/>
        <w:bottom w:val="single" w:sz="6" w:space="1" w:color="ED7D31" w:themeColor="accent2"/>
        <w:right w:val="single" w:sz="6" w:space="1" w:color="ED7D31" w:themeColor="accent2"/>
      </w:pBdr>
      <w:spacing w:before="240" w:after="80" w:line="276" w:lineRule="auto"/>
      <w:ind w:left="144"/>
      <w:outlineLvl w:val="1"/>
    </w:pPr>
    <w:rPr>
      <w:rFonts w:asciiTheme="majorHAnsi" w:eastAsiaTheme="minorHAnsi" w:hAnsiTheme="majorHAnsi" w:cs="Times New Roman"/>
      <w:color w:val="C45911" w:themeColor="accent2" w:themeShade="BF"/>
      <w:spacing w:val="5"/>
      <w:kern w:val="24"/>
      <w:sz w:val="20"/>
      <w:szCs w:val="28"/>
      <w:lang w:val="en-US" w:eastAsia="ja-JP"/>
      <w14:ligatures w14:val="none"/>
    </w:rPr>
  </w:style>
  <w:style w:type="paragraph" w:styleId="Heading3">
    <w:name w:val="heading 3"/>
    <w:basedOn w:val="Normal"/>
    <w:next w:val="Normal"/>
    <w:link w:val="Heading3Char"/>
    <w:uiPriority w:val="9"/>
    <w:unhideWhenUsed/>
    <w:qFormat/>
    <w:pPr>
      <w:pBdr>
        <w:top w:val="single" w:sz="6" w:space="1" w:color="A6A6A6" w:themeColor="background1" w:themeShade="A6"/>
        <w:left w:val="single" w:sz="48" w:space="1" w:color="A6A6A6" w:themeColor="background1" w:themeShade="A6"/>
        <w:bottom w:val="single" w:sz="6" w:space="1" w:color="A6A6A6" w:themeColor="background1" w:themeShade="A6"/>
        <w:right w:val="single" w:sz="6" w:space="1" w:color="A6A6A6" w:themeColor="background1" w:themeShade="A6"/>
      </w:pBdr>
      <w:spacing w:before="200" w:after="80" w:line="276" w:lineRule="auto"/>
      <w:ind w:left="144"/>
      <w:outlineLvl w:val="2"/>
    </w:pPr>
    <w:rPr>
      <w:rFonts w:asciiTheme="majorHAnsi" w:eastAsiaTheme="minorHAnsi" w:hAnsiTheme="majorHAnsi" w:cs="Times New Roman"/>
      <w:color w:val="595959" w:themeColor="text1" w:themeTint="A6"/>
      <w:spacing w:val="5"/>
      <w:kern w:val="24"/>
      <w:sz w:val="20"/>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714F5486BB4262903E723F410AD5F2">
    <w:name w:val="0E714F5486BB4262903E723F410AD5F2"/>
  </w:style>
  <w:style w:type="character" w:customStyle="1" w:styleId="Heading1Char">
    <w:name w:val="Heading 1 Char"/>
    <w:basedOn w:val="DefaultParagraphFont"/>
    <w:link w:val="Heading1"/>
    <w:uiPriority w:val="9"/>
    <w:rPr>
      <w:rFonts w:asciiTheme="majorHAnsi" w:eastAsiaTheme="minorHAnsi" w:hAnsiTheme="majorHAnsi" w:cs="Times New Roman"/>
      <w:color w:val="FFFFFF" w:themeColor="background1"/>
      <w:spacing w:val="5"/>
      <w:kern w:val="0"/>
      <w:sz w:val="20"/>
      <w:szCs w:val="32"/>
      <w:shd w:val="clear" w:color="auto" w:fill="ED7D31" w:themeFill="accent2"/>
      <w:lang w:val="en-US" w:eastAsia="ja-JP"/>
      <w14:ligatures w14:val="none"/>
    </w:rPr>
  </w:style>
  <w:style w:type="character" w:customStyle="1" w:styleId="Heading2Char">
    <w:name w:val="Heading 2 Char"/>
    <w:basedOn w:val="DefaultParagraphFont"/>
    <w:link w:val="Heading2"/>
    <w:uiPriority w:val="9"/>
    <w:rPr>
      <w:rFonts w:asciiTheme="majorHAnsi" w:eastAsiaTheme="minorHAnsi" w:hAnsiTheme="majorHAnsi" w:cs="Times New Roman"/>
      <w:color w:val="C45911" w:themeColor="accent2" w:themeShade="BF"/>
      <w:spacing w:val="5"/>
      <w:kern w:val="24"/>
      <w:sz w:val="20"/>
      <w:szCs w:val="28"/>
      <w:lang w:val="en-US" w:eastAsia="ja-JP"/>
      <w14:ligatures w14:val="none"/>
    </w:rPr>
  </w:style>
  <w:style w:type="character" w:customStyle="1" w:styleId="Heading3Char">
    <w:name w:val="Heading 3 Char"/>
    <w:basedOn w:val="DefaultParagraphFont"/>
    <w:link w:val="Heading3"/>
    <w:uiPriority w:val="9"/>
    <w:rPr>
      <w:rFonts w:asciiTheme="majorHAnsi" w:eastAsiaTheme="minorHAnsi" w:hAnsiTheme="majorHAnsi" w:cs="Times New Roman"/>
      <w:color w:val="595959" w:themeColor="text1" w:themeTint="A6"/>
      <w:spacing w:val="5"/>
      <w:kern w:val="24"/>
      <w:sz w:val="20"/>
      <w:lang w:val="en-US" w:eastAsia="ja-JP"/>
      <w14:ligatures w14:val="none"/>
    </w:rPr>
  </w:style>
  <w:style w:type="paragraph" w:styleId="Caption">
    <w:name w:val="caption"/>
    <w:basedOn w:val="Normal"/>
    <w:next w:val="Normal"/>
    <w:uiPriority w:val="35"/>
    <w:unhideWhenUsed/>
    <w:qFormat/>
    <w:pPr>
      <w:spacing w:after="0" w:line="240" w:lineRule="auto"/>
    </w:pPr>
    <w:rPr>
      <w:rFonts w:asciiTheme="majorHAnsi" w:eastAsiaTheme="minorHAnsi" w:hAnsiTheme="majorHAnsi" w:cs="Times New Roman"/>
      <w:bCs/>
      <w:color w:val="ED7D31" w:themeColor="accent2"/>
      <w:kern w:val="0"/>
      <w:sz w:val="16"/>
      <w:szCs w:val="18"/>
      <w:lang w:val="en-US"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rigin">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Props1.xml><?xml version="1.0" encoding="utf-8"?>
<ds:datastoreItem xmlns:ds="http://schemas.openxmlformats.org/officeDocument/2006/customXml" ds:itemID="{08CE65F9-6D1F-45BE-8AAF-04F59C177571}">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OriginReport</Template>
  <TotalTime>114</TotalTime>
  <Pages>4</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POLICY BRIEF – MZIMBA DISTRICT</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BRIEF — MZIMBA DISTRICT</dc:title>
  <dc:subject>Strengthening TA-Level Accessibility and Spatial Equity in GBV Service Provision in Mzimba District</dc:subject>
  <dc:creator>Atusaye Nyondo</dc:creator>
  <cp:keywords/>
  <dc:description/>
  <cp:lastModifiedBy>Atusaye Nyondo</cp:lastModifiedBy>
  <cp:revision>20</cp:revision>
  <dcterms:created xsi:type="dcterms:W3CDTF">2025-12-04T16:50:00Z</dcterms:created>
  <dcterms:modified xsi:type="dcterms:W3CDTF">2025-12-28T08:24:00Z</dcterms:modified>
</cp:coreProperties>
</file>